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DC" w:rsidRPr="00A734C9" w:rsidRDefault="00A734C9">
      <w:pPr>
        <w:rPr>
          <w:b/>
          <w:sz w:val="28"/>
          <w:szCs w:val="28"/>
        </w:rPr>
      </w:pPr>
      <w:r w:rsidRPr="00A734C9">
        <w:rPr>
          <w:b/>
          <w:sz w:val="28"/>
          <w:szCs w:val="28"/>
        </w:rPr>
        <w:t>Personalised bioactive scaffolds for maxillofacial bone regeneration</w:t>
      </w:r>
    </w:p>
    <w:p w:rsidR="00E55B41" w:rsidRPr="00814D42" w:rsidRDefault="00BF159D" w:rsidP="003877A8">
      <w:pPr>
        <w:jc w:val="both"/>
      </w:pPr>
      <w:r>
        <w:rPr>
          <w:rFonts w:ascii="Times New Roman" w:hAnsi="Times New Roman" w:cs="Times New Roman"/>
          <w:lang w:val="en-US"/>
        </w:rPr>
        <w:t>This project will develop 3D printed</w:t>
      </w:r>
      <w:r w:rsidR="00207384" w:rsidRPr="00B73118">
        <w:rPr>
          <w:rFonts w:ascii="Times New Roman" w:hAnsi="Times New Roman" w:cs="Times New Roman"/>
          <w:lang w:val="en-US"/>
        </w:rPr>
        <w:t xml:space="preserve"> </w:t>
      </w:r>
      <w:r w:rsidR="00207384">
        <w:rPr>
          <w:rFonts w:ascii="Times New Roman" w:hAnsi="Times New Roman" w:cs="Times New Roman"/>
          <w:lang w:val="en-US"/>
        </w:rPr>
        <w:t xml:space="preserve">personalized </w:t>
      </w:r>
      <w:r w:rsidR="00980003">
        <w:rPr>
          <w:rFonts w:ascii="Times New Roman" w:hAnsi="Times New Roman" w:cs="Times New Roman"/>
          <w:lang w:val="en-US"/>
        </w:rPr>
        <w:t xml:space="preserve">bioactive scaffolds </w:t>
      </w:r>
      <w:r>
        <w:t xml:space="preserve">for </w:t>
      </w:r>
      <w:r w:rsidR="009A3CF8">
        <w:t>maxillo</w:t>
      </w:r>
      <w:r>
        <w:t xml:space="preserve">facial </w:t>
      </w:r>
      <w:r w:rsidR="00E55B41">
        <w:t>bone regeneration</w:t>
      </w:r>
      <w:r>
        <w:t>. Usi</w:t>
      </w:r>
      <w:r w:rsidRPr="00814D42">
        <w:t xml:space="preserve">ng </w:t>
      </w:r>
      <w:r w:rsidR="00C61E6E" w:rsidRPr="00814D42">
        <w:t xml:space="preserve">a melt syringe extruder </w:t>
      </w:r>
      <w:r w:rsidR="00814D42" w:rsidRPr="00814D42">
        <w:t>direct printing method we will create</w:t>
      </w:r>
      <w:r w:rsidRPr="00814D42">
        <w:t xml:space="preserve"> poly-(</w:t>
      </w:r>
      <w:proofErr w:type="spellStart"/>
      <w:r w:rsidRPr="00814D42">
        <w:t>caprolactone</w:t>
      </w:r>
      <w:proofErr w:type="spellEnd"/>
      <w:r w:rsidRPr="00814D42">
        <w:t xml:space="preserve">) (PCL), </w:t>
      </w:r>
      <w:r w:rsidR="000B2DD2" w:rsidRPr="00814D42">
        <w:t>b</w:t>
      </w:r>
      <w:r w:rsidRPr="00814D42">
        <w:t>ioactive glass</w:t>
      </w:r>
      <w:r w:rsidR="00C61E6E" w:rsidRPr="00814D42">
        <w:t>es</w:t>
      </w:r>
      <w:r w:rsidR="00814D42" w:rsidRPr="00814D42">
        <w:t xml:space="preserve"> and </w:t>
      </w:r>
      <w:proofErr w:type="spellStart"/>
      <w:r w:rsidR="00814D42" w:rsidRPr="00814D42">
        <w:t>o</w:t>
      </w:r>
      <w:r w:rsidRPr="00814D42">
        <w:t>ctacalcium</w:t>
      </w:r>
      <w:proofErr w:type="spellEnd"/>
      <w:r w:rsidRPr="00814D42">
        <w:t xml:space="preserve"> phosphate (OCP) </w:t>
      </w:r>
      <w:r w:rsidR="00814D42" w:rsidRPr="00814D42">
        <w:t>hybrids (from micro-</w:t>
      </w:r>
      <w:proofErr w:type="spellStart"/>
      <w:r w:rsidR="00814D42" w:rsidRPr="00814D42">
        <w:t>nano</w:t>
      </w:r>
      <w:proofErr w:type="spellEnd"/>
      <w:r w:rsidR="00814D42" w:rsidRPr="00814D42">
        <w:t xml:space="preserve"> sized</w:t>
      </w:r>
      <w:r w:rsidR="00494CEF">
        <w:t xml:space="preserve"> particles</w:t>
      </w:r>
      <w:r w:rsidR="00814D42" w:rsidRPr="00814D42">
        <w:t>)</w:t>
      </w:r>
      <w:r w:rsidRPr="00814D42">
        <w:t xml:space="preserve"> </w:t>
      </w:r>
      <w:r w:rsidR="00980003" w:rsidRPr="00814D42">
        <w:t xml:space="preserve">that can be printed for specific sized defects and promote bone formation through the release of bioactive ions. </w:t>
      </w:r>
      <w:r w:rsidRPr="00814D42">
        <w:t>Th</w:t>
      </w:r>
      <w:r w:rsidR="00C61E6E" w:rsidRPr="00814D42">
        <w:t xml:space="preserve">is </w:t>
      </w:r>
      <w:r w:rsidR="00980003" w:rsidRPr="00814D42">
        <w:t>print</w:t>
      </w:r>
      <w:r w:rsidR="00C61E6E" w:rsidRPr="00814D42">
        <w:t xml:space="preserve">ing </w:t>
      </w:r>
      <w:r w:rsidRPr="00814D42">
        <w:t xml:space="preserve">approach </w:t>
      </w:r>
      <w:r w:rsidR="00C61E6E" w:rsidRPr="00814D42">
        <w:t xml:space="preserve">allows </w:t>
      </w:r>
      <w:r w:rsidR="00814D42" w:rsidRPr="00814D42">
        <w:t>the rapid formulation of different inorganic polymer hybrid</w:t>
      </w:r>
      <w:r w:rsidR="00814D42">
        <w:t>s</w:t>
      </w:r>
      <w:r w:rsidR="00814D42" w:rsidRPr="00814D42">
        <w:t xml:space="preserve"> and the production of patient specific scaffolds</w:t>
      </w:r>
      <w:r w:rsidR="00814D42">
        <w:t xml:space="preserve"> </w:t>
      </w:r>
      <w:r w:rsidR="00814D42" w:rsidRPr="00814D42">
        <w:t>with digitally controlled pore structures,</w:t>
      </w:r>
      <w:r w:rsidR="00DA3D0E" w:rsidRPr="00814D42">
        <w:t xml:space="preserve"> </w:t>
      </w:r>
      <w:r w:rsidR="00965C2D" w:rsidRPr="00814D42">
        <w:t xml:space="preserve">whilst maintaining appropriate mechanical and bioactive properties. </w:t>
      </w:r>
    </w:p>
    <w:p w:rsidR="00091FEA" w:rsidRDefault="00E55B41" w:rsidP="003877A8">
      <w:pPr>
        <w:jc w:val="both"/>
      </w:pPr>
      <w:r>
        <w:t xml:space="preserve">Using equipment and expertise in 3D </w:t>
      </w:r>
      <w:r w:rsidR="00143421">
        <w:t xml:space="preserve">polymer </w:t>
      </w:r>
      <w:r>
        <w:t>printing (</w:t>
      </w:r>
      <w:proofErr w:type="spellStart"/>
      <w:r>
        <w:t>Wenhui</w:t>
      </w:r>
      <w:proofErr w:type="spellEnd"/>
      <w:r>
        <w:t xml:space="preserve"> Song), material characterisation, cell-material interaction and bone tissue engineering (Gavin Jell), in addition to a surgical lead (</w:t>
      </w:r>
      <w:proofErr w:type="spellStart"/>
      <w:r>
        <w:t>Kaveh</w:t>
      </w:r>
      <w:proofErr w:type="spellEnd"/>
      <w:r>
        <w:t xml:space="preserve"> </w:t>
      </w:r>
      <w:proofErr w:type="spellStart"/>
      <w:r>
        <w:t>Shakib</w:t>
      </w:r>
      <w:proofErr w:type="spellEnd"/>
      <w:r>
        <w:t>) this</w:t>
      </w:r>
      <w:r w:rsidR="00814D42">
        <w:t xml:space="preserve"> project will enable the design-</w:t>
      </w:r>
      <w:r>
        <w:t>led creation of a novel but translatio</w:t>
      </w:r>
      <w:r w:rsidR="00A85F6C">
        <w:t>n approach to maxillo</w:t>
      </w:r>
      <w:r>
        <w:t xml:space="preserve">facial </w:t>
      </w:r>
      <w:r w:rsidR="00494CEF">
        <w:t xml:space="preserve">bone </w:t>
      </w:r>
      <w:r>
        <w:t xml:space="preserve">reconstruction. </w:t>
      </w:r>
    </w:p>
    <w:p w:rsidR="00E55B41" w:rsidRPr="00E55B41" w:rsidRDefault="00E55B41" w:rsidP="005F7A04">
      <w:pPr>
        <w:spacing w:after="80"/>
        <w:rPr>
          <w:b/>
        </w:rPr>
      </w:pPr>
      <w:r w:rsidRPr="00E55B41">
        <w:rPr>
          <w:b/>
        </w:rPr>
        <w:t xml:space="preserve">Work Plan </w:t>
      </w:r>
    </w:p>
    <w:tbl>
      <w:tblPr>
        <w:tblpPr w:leftFromText="180" w:rightFromText="180" w:vertAnchor="text" w:horzAnchor="margin" w:tblpY="75"/>
        <w:tblW w:w="9493" w:type="dxa"/>
        <w:tblLayout w:type="fixed"/>
        <w:tblCellMar>
          <w:left w:w="0" w:type="dxa"/>
          <w:right w:w="0" w:type="dxa"/>
        </w:tblCellMar>
        <w:tblLook w:val="0600" w:firstRow="0" w:lastRow="0" w:firstColumn="0" w:lastColumn="0" w:noHBand="1" w:noVBand="1"/>
      </w:tblPr>
      <w:tblGrid>
        <w:gridCol w:w="3546"/>
        <w:gridCol w:w="495"/>
        <w:gridCol w:w="495"/>
        <w:gridCol w:w="496"/>
        <w:gridCol w:w="495"/>
        <w:gridCol w:w="496"/>
        <w:gridCol w:w="496"/>
        <w:gridCol w:w="495"/>
        <w:gridCol w:w="496"/>
        <w:gridCol w:w="496"/>
        <w:gridCol w:w="496"/>
        <w:gridCol w:w="495"/>
        <w:gridCol w:w="496"/>
      </w:tblGrid>
      <w:tr w:rsidR="000D3BCB" w:rsidRPr="00091FEA" w:rsidTr="000D3BCB">
        <w:trPr>
          <w:trHeight w:val="391"/>
        </w:trPr>
        <w:tc>
          <w:tcPr>
            <w:tcW w:w="354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Work Packages</w:t>
            </w:r>
          </w:p>
        </w:tc>
        <w:tc>
          <w:tcPr>
            <w:tcW w:w="49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0D3BCB" w:rsidRPr="00091FEA" w:rsidRDefault="000D3BCB" w:rsidP="000D3BCB">
            <w:pPr>
              <w:spacing w:after="0" w:line="240" w:lineRule="auto"/>
              <w:jc w:val="both"/>
              <w:rPr>
                <w:rFonts w:ascii="Arial" w:eastAsia="Times New Roman" w:hAnsi="Arial" w:cs="Arial"/>
                <w:sz w:val="24"/>
                <w:szCs w:val="24"/>
                <w:lang w:eastAsia="en-GB"/>
              </w:rPr>
            </w:pPr>
            <w:r>
              <w:rPr>
                <w:rFonts w:ascii="Times New Roman" w:eastAsia="Times New Roman" w:hAnsi="Times New Roman" w:cs="Times New Roman"/>
                <w:b/>
                <w:bCs/>
                <w:color w:val="000000" w:themeColor="text1"/>
                <w:kern w:val="24"/>
                <w:sz w:val="24"/>
                <w:szCs w:val="24"/>
                <w:lang w:eastAsia="en-GB"/>
              </w:rPr>
              <w:t>3</w:t>
            </w:r>
          </w:p>
        </w:tc>
        <w:tc>
          <w:tcPr>
            <w:tcW w:w="49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0D3BCB" w:rsidRPr="00091FEA" w:rsidRDefault="000D3BCB" w:rsidP="000D3BCB">
            <w:pPr>
              <w:spacing w:after="0" w:line="240" w:lineRule="auto"/>
              <w:jc w:val="both"/>
              <w:rPr>
                <w:rFonts w:ascii="Arial" w:eastAsia="Times New Roman" w:hAnsi="Arial" w:cs="Arial"/>
                <w:sz w:val="24"/>
                <w:szCs w:val="24"/>
                <w:lang w:eastAsia="en-GB"/>
              </w:rPr>
            </w:pPr>
            <w:r>
              <w:rPr>
                <w:rFonts w:ascii="Times New Roman" w:eastAsia="Times New Roman" w:hAnsi="Times New Roman" w:cs="Times New Roman"/>
                <w:b/>
                <w:bCs/>
                <w:color w:val="000000" w:themeColor="text1"/>
                <w:kern w:val="24"/>
                <w:sz w:val="24"/>
                <w:szCs w:val="24"/>
                <w:lang w:eastAsia="en-GB"/>
              </w:rPr>
              <w:t>6</w:t>
            </w:r>
          </w:p>
        </w:tc>
        <w:tc>
          <w:tcPr>
            <w:tcW w:w="4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0D3BCB" w:rsidRPr="00091FEA" w:rsidRDefault="000D3BCB" w:rsidP="000D3BCB">
            <w:pPr>
              <w:spacing w:after="0" w:line="240" w:lineRule="auto"/>
              <w:jc w:val="both"/>
              <w:rPr>
                <w:rFonts w:ascii="Arial" w:eastAsia="Times New Roman" w:hAnsi="Arial" w:cs="Arial"/>
                <w:sz w:val="24"/>
                <w:szCs w:val="24"/>
                <w:lang w:eastAsia="en-GB"/>
              </w:rPr>
            </w:pPr>
            <w:r>
              <w:rPr>
                <w:rFonts w:ascii="Times New Roman" w:eastAsia="Times New Roman" w:hAnsi="Times New Roman" w:cs="Times New Roman"/>
                <w:b/>
                <w:bCs/>
                <w:color w:val="000000" w:themeColor="text1"/>
                <w:kern w:val="24"/>
                <w:sz w:val="24"/>
                <w:szCs w:val="24"/>
                <w:lang w:eastAsia="en-GB"/>
              </w:rPr>
              <w:t>9</w:t>
            </w:r>
          </w:p>
        </w:tc>
        <w:tc>
          <w:tcPr>
            <w:tcW w:w="49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0D3BCB" w:rsidRPr="00091FEA" w:rsidRDefault="000D3BCB" w:rsidP="000D3BCB">
            <w:pPr>
              <w:spacing w:after="0" w:line="240" w:lineRule="auto"/>
              <w:jc w:val="both"/>
              <w:rPr>
                <w:rFonts w:ascii="Arial" w:eastAsia="Times New Roman" w:hAnsi="Arial" w:cs="Arial"/>
                <w:sz w:val="24"/>
                <w:szCs w:val="24"/>
                <w:lang w:eastAsia="en-GB"/>
              </w:rPr>
            </w:pPr>
            <w:r>
              <w:rPr>
                <w:rFonts w:ascii="Times New Roman" w:eastAsia="Times New Roman" w:hAnsi="Times New Roman" w:cs="Times New Roman"/>
                <w:b/>
                <w:bCs/>
                <w:color w:val="000000" w:themeColor="text1"/>
                <w:kern w:val="24"/>
                <w:sz w:val="24"/>
                <w:szCs w:val="24"/>
                <w:lang w:eastAsia="en-GB"/>
              </w:rPr>
              <w:t>12</w:t>
            </w:r>
          </w:p>
        </w:tc>
        <w:tc>
          <w:tcPr>
            <w:tcW w:w="4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0D3BCB" w:rsidRPr="00091FEA" w:rsidRDefault="000D3BCB" w:rsidP="000D3BCB">
            <w:pPr>
              <w:spacing w:after="0" w:line="240" w:lineRule="auto"/>
              <w:jc w:val="both"/>
              <w:rPr>
                <w:rFonts w:ascii="Arial" w:eastAsia="Times New Roman" w:hAnsi="Arial" w:cs="Arial"/>
                <w:sz w:val="24"/>
                <w:szCs w:val="24"/>
                <w:lang w:eastAsia="en-GB"/>
              </w:rPr>
            </w:pPr>
            <w:r>
              <w:rPr>
                <w:rFonts w:ascii="Times New Roman" w:eastAsia="Times New Roman" w:hAnsi="Times New Roman" w:cs="Times New Roman"/>
                <w:b/>
                <w:bCs/>
                <w:color w:val="000000" w:themeColor="text1"/>
                <w:kern w:val="24"/>
                <w:sz w:val="24"/>
                <w:szCs w:val="24"/>
                <w:lang w:eastAsia="en-GB"/>
              </w:rPr>
              <w:t>15</w:t>
            </w:r>
          </w:p>
        </w:tc>
        <w:tc>
          <w:tcPr>
            <w:tcW w:w="4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0D3BCB" w:rsidRPr="00091FEA" w:rsidRDefault="000D3BCB" w:rsidP="000D3BCB">
            <w:pPr>
              <w:spacing w:after="0" w:line="240" w:lineRule="auto"/>
              <w:jc w:val="both"/>
              <w:rPr>
                <w:rFonts w:ascii="Arial" w:eastAsia="Times New Roman" w:hAnsi="Arial" w:cs="Arial"/>
                <w:sz w:val="24"/>
                <w:szCs w:val="24"/>
                <w:lang w:eastAsia="en-GB"/>
              </w:rPr>
            </w:pPr>
            <w:r>
              <w:rPr>
                <w:rFonts w:ascii="Times New Roman" w:eastAsia="Times New Roman" w:hAnsi="Times New Roman" w:cs="Times New Roman"/>
                <w:b/>
                <w:bCs/>
                <w:color w:val="000000" w:themeColor="text1"/>
                <w:kern w:val="24"/>
                <w:sz w:val="24"/>
                <w:szCs w:val="24"/>
                <w:lang w:eastAsia="en-GB"/>
              </w:rPr>
              <w:t>18</w:t>
            </w:r>
          </w:p>
        </w:tc>
        <w:tc>
          <w:tcPr>
            <w:tcW w:w="495" w:type="dxa"/>
            <w:tcBorders>
              <w:top w:val="single" w:sz="4" w:space="0" w:color="auto"/>
              <w:left w:val="single" w:sz="4" w:space="0" w:color="auto"/>
              <w:bottom w:val="single" w:sz="4" w:space="0" w:color="auto"/>
              <w:right w:val="single" w:sz="4" w:space="0" w:color="auto"/>
            </w:tcBorders>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21</w:t>
            </w:r>
          </w:p>
        </w:tc>
        <w:tc>
          <w:tcPr>
            <w:tcW w:w="496" w:type="dxa"/>
            <w:tcBorders>
              <w:top w:val="single" w:sz="4" w:space="0" w:color="auto"/>
              <w:left w:val="single" w:sz="4" w:space="0" w:color="auto"/>
              <w:bottom w:val="single" w:sz="4" w:space="0" w:color="auto"/>
              <w:right w:val="single" w:sz="4" w:space="0" w:color="auto"/>
            </w:tcBorders>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24</w:t>
            </w:r>
          </w:p>
        </w:tc>
        <w:tc>
          <w:tcPr>
            <w:tcW w:w="496" w:type="dxa"/>
            <w:tcBorders>
              <w:top w:val="single" w:sz="4" w:space="0" w:color="auto"/>
              <w:left w:val="single" w:sz="4" w:space="0" w:color="auto"/>
              <w:bottom w:val="single" w:sz="4" w:space="0" w:color="auto"/>
              <w:right w:val="single" w:sz="4" w:space="0" w:color="auto"/>
            </w:tcBorders>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27</w:t>
            </w:r>
          </w:p>
        </w:tc>
        <w:tc>
          <w:tcPr>
            <w:tcW w:w="496" w:type="dxa"/>
            <w:tcBorders>
              <w:top w:val="single" w:sz="4" w:space="0" w:color="auto"/>
              <w:left w:val="single" w:sz="4" w:space="0" w:color="auto"/>
              <w:bottom w:val="single" w:sz="4" w:space="0" w:color="auto"/>
              <w:right w:val="single" w:sz="4" w:space="0" w:color="auto"/>
            </w:tcBorders>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30</w:t>
            </w:r>
          </w:p>
        </w:tc>
        <w:tc>
          <w:tcPr>
            <w:tcW w:w="495" w:type="dxa"/>
            <w:tcBorders>
              <w:top w:val="single" w:sz="4" w:space="0" w:color="auto"/>
              <w:left w:val="single" w:sz="4" w:space="0" w:color="auto"/>
              <w:bottom w:val="single" w:sz="4" w:space="0" w:color="auto"/>
              <w:right w:val="single" w:sz="4" w:space="0" w:color="auto"/>
            </w:tcBorders>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33</w:t>
            </w:r>
          </w:p>
        </w:tc>
        <w:tc>
          <w:tcPr>
            <w:tcW w:w="496" w:type="dxa"/>
            <w:tcBorders>
              <w:top w:val="single" w:sz="4" w:space="0" w:color="auto"/>
              <w:left w:val="single" w:sz="4" w:space="0" w:color="auto"/>
              <w:bottom w:val="single" w:sz="4" w:space="0" w:color="auto"/>
              <w:right w:val="single" w:sz="4" w:space="0" w:color="auto"/>
            </w:tcBorders>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36</w:t>
            </w:r>
          </w:p>
        </w:tc>
      </w:tr>
      <w:tr w:rsidR="000D3BCB" w:rsidRPr="00091FEA" w:rsidTr="00D1585B">
        <w:trPr>
          <w:trHeight w:val="279"/>
        </w:trPr>
        <w:tc>
          <w:tcPr>
            <w:tcW w:w="3546" w:type="dxa"/>
            <w:vMerge w:val="restart"/>
            <w:tcBorders>
              <w:top w:val="single" w:sz="4" w:space="0" w:color="auto"/>
              <w:left w:val="single" w:sz="4" w:space="0" w:color="auto"/>
              <w:right w:val="single" w:sz="4" w:space="0" w:color="auto"/>
            </w:tcBorders>
            <w:shd w:val="clear" w:color="auto" w:fill="E6E6E6"/>
            <w:tcMar>
              <w:top w:w="15" w:type="dxa"/>
              <w:left w:w="108" w:type="dxa"/>
              <w:bottom w:w="0" w:type="dxa"/>
              <w:right w:w="108" w:type="dxa"/>
            </w:tcMar>
            <w:hideMark/>
          </w:tcPr>
          <w:p w:rsidR="000D3BCB" w:rsidRDefault="000D3BCB" w:rsidP="000D3BCB">
            <w:pPr>
              <w:spacing w:after="0" w:line="240" w:lineRule="auto"/>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 xml:space="preserve">W1. </w:t>
            </w:r>
            <w:r w:rsidRPr="00091FEA">
              <w:rPr>
                <w:rFonts w:ascii="Times New Roman" w:eastAsia="Times New Roman" w:hAnsi="Times New Roman" w:cs="Times New Roman"/>
                <w:b/>
                <w:bCs/>
                <w:color w:val="000000" w:themeColor="text1"/>
                <w:kern w:val="24"/>
                <w:sz w:val="24"/>
                <w:szCs w:val="24"/>
                <w:lang w:eastAsia="en-GB"/>
              </w:rPr>
              <w:t>Scaffold development</w:t>
            </w:r>
          </w:p>
          <w:p w:rsidR="000D3BCB" w:rsidRDefault="000D3BCB" w:rsidP="000D3BCB">
            <w:pPr>
              <w:spacing w:after="0" w:line="240" w:lineRule="auto"/>
              <w:rPr>
                <w:rFonts w:ascii="Times New Roman" w:eastAsia="Times New Roman" w:hAnsi="Times New Roman" w:cs="Times New Roman"/>
                <w:bCs/>
                <w:color w:val="000000" w:themeColor="text1"/>
                <w:kern w:val="24"/>
                <w:lang w:eastAsia="en-GB"/>
              </w:rPr>
            </w:pPr>
            <w:r w:rsidRPr="00091FEA">
              <w:rPr>
                <w:rFonts w:ascii="Times New Roman" w:eastAsia="Times New Roman" w:hAnsi="Times New Roman" w:cs="Times New Roman"/>
                <w:bCs/>
                <w:color w:val="000000" w:themeColor="text1"/>
                <w:kern w:val="24"/>
                <w:lang w:eastAsia="en-GB"/>
              </w:rPr>
              <w:t>1.1</w:t>
            </w:r>
            <w:r>
              <w:rPr>
                <w:rFonts w:ascii="Times New Roman" w:eastAsia="Times New Roman" w:hAnsi="Times New Roman" w:cs="Times New Roman"/>
                <w:bCs/>
                <w:color w:val="000000" w:themeColor="text1"/>
                <w:kern w:val="24"/>
                <w:lang w:eastAsia="en-GB"/>
              </w:rPr>
              <w:t xml:space="preserve"> </w:t>
            </w:r>
            <w:r>
              <w:t xml:space="preserve"> </w:t>
            </w:r>
            <w:r w:rsidRPr="00786D7E">
              <w:rPr>
                <w:rFonts w:ascii="Times New Roman" w:eastAsia="Times New Roman" w:hAnsi="Times New Roman" w:cs="Times New Roman"/>
                <w:bCs/>
                <w:color w:val="000000" w:themeColor="text1"/>
                <w:kern w:val="24"/>
                <w:lang w:eastAsia="en-GB"/>
              </w:rPr>
              <w:t>Development of the 3D printed scaffolds</w:t>
            </w:r>
          </w:p>
          <w:p w:rsidR="000D3BCB" w:rsidRPr="00091FEA" w:rsidRDefault="000D3BCB" w:rsidP="000D3BCB">
            <w:pPr>
              <w:spacing w:after="0" w:line="240" w:lineRule="auto"/>
              <w:rPr>
                <w:rFonts w:ascii="Times New Roman" w:eastAsia="Times New Roman" w:hAnsi="Times New Roman" w:cs="Times New Roman"/>
                <w:bCs/>
                <w:color w:val="000000" w:themeColor="text1"/>
                <w:kern w:val="24"/>
                <w:lang w:eastAsia="en-GB"/>
              </w:rPr>
            </w:pPr>
            <w:r>
              <w:rPr>
                <w:rFonts w:ascii="Times New Roman" w:eastAsia="Times New Roman" w:hAnsi="Times New Roman" w:cs="Times New Roman"/>
                <w:bCs/>
                <w:color w:val="000000" w:themeColor="text1"/>
                <w:kern w:val="24"/>
                <w:lang w:eastAsia="en-GB"/>
              </w:rPr>
              <w:t>1.2 Personalised 3D image defect reconstruction – printing conversion</w:t>
            </w:r>
          </w:p>
        </w:tc>
        <w:tc>
          <w:tcPr>
            <w:tcW w:w="495" w:type="dxa"/>
            <w:tcBorders>
              <w:top w:val="single" w:sz="4" w:space="0" w:color="auto"/>
              <w:left w:val="single" w:sz="4" w:space="0" w:color="auto"/>
            </w:tcBorders>
            <w:shd w:val="clear" w:color="auto" w:fill="D9D9D9" w:themeFill="background1" w:themeFillShade="D9"/>
            <w:tcMar>
              <w:top w:w="15" w:type="dxa"/>
              <w:left w:w="108" w:type="dxa"/>
              <w:bottom w:w="0" w:type="dxa"/>
              <w:right w:w="108" w:type="dxa"/>
            </w:tcMar>
            <w:hideMark/>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tcBorders>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tcBorders>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right w:val="single" w:sz="4" w:space="0" w:color="auto"/>
            </w:tcBorders>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left w:val="single" w:sz="4" w:space="0" w:color="auto"/>
            </w:tcBorders>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lef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righ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D1585B">
        <w:trPr>
          <w:trHeight w:val="248"/>
        </w:trPr>
        <w:tc>
          <w:tcPr>
            <w:tcW w:w="3546" w:type="dxa"/>
            <w:vMerge/>
            <w:tcBorders>
              <w:left w:val="single" w:sz="4" w:space="0" w:color="auto"/>
              <w:right w:val="single" w:sz="4" w:space="0" w:color="auto"/>
            </w:tcBorders>
            <w:shd w:val="clear" w:color="auto" w:fill="E6E6E6"/>
            <w:tcMar>
              <w:top w:w="15" w:type="dxa"/>
              <w:left w:w="108" w:type="dxa"/>
              <w:bottom w:w="0" w:type="dxa"/>
              <w:right w:w="108" w:type="dxa"/>
            </w:tcMar>
          </w:tcPr>
          <w:p w:rsidR="000D3BCB" w:rsidRDefault="000D3BCB" w:rsidP="000D3BCB">
            <w:pPr>
              <w:spacing w:after="0" w:line="240" w:lineRule="auto"/>
              <w:rPr>
                <w:rFonts w:ascii="Times New Roman" w:eastAsia="Times New Roman" w:hAnsi="Times New Roman" w:cs="Times New Roman"/>
                <w:b/>
                <w:bCs/>
                <w:color w:val="000000" w:themeColor="text1"/>
                <w:kern w:val="24"/>
                <w:sz w:val="24"/>
                <w:szCs w:val="24"/>
                <w:lang w:eastAsia="en-GB"/>
              </w:rPr>
            </w:pPr>
          </w:p>
        </w:tc>
        <w:tc>
          <w:tcPr>
            <w:tcW w:w="495" w:type="dxa"/>
            <w:tcBorders>
              <w:left w:val="single" w:sz="4" w:space="0" w:color="auto"/>
            </w:tcBorders>
            <w:shd w:val="clear" w:color="auto" w:fill="D9D9D9" w:themeFill="background1" w:themeFillShade="D9"/>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right w:val="single" w:sz="4" w:space="0" w:color="auto"/>
            </w:tcBorders>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tcBorders>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righ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D1585B">
        <w:trPr>
          <w:trHeight w:val="247"/>
        </w:trPr>
        <w:tc>
          <w:tcPr>
            <w:tcW w:w="3546" w:type="dxa"/>
            <w:vMerge/>
            <w:tcBorders>
              <w:left w:val="single" w:sz="4" w:space="0" w:color="auto"/>
              <w:right w:val="single" w:sz="4" w:space="0" w:color="auto"/>
            </w:tcBorders>
            <w:shd w:val="clear" w:color="auto" w:fill="E6E6E6"/>
            <w:tcMar>
              <w:top w:w="15" w:type="dxa"/>
              <w:left w:w="108" w:type="dxa"/>
              <w:bottom w:w="0" w:type="dxa"/>
              <w:right w:w="108" w:type="dxa"/>
            </w:tcMar>
          </w:tcPr>
          <w:p w:rsidR="000D3BCB" w:rsidRDefault="000D3BCB" w:rsidP="000D3BCB">
            <w:pPr>
              <w:spacing w:after="0" w:line="240" w:lineRule="auto"/>
              <w:rPr>
                <w:rFonts w:ascii="Times New Roman" w:eastAsia="Times New Roman" w:hAnsi="Times New Roman" w:cs="Times New Roman"/>
                <w:b/>
                <w:bCs/>
                <w:color w:val="000000" w:themeColor="text1"/>
                <w:kern w:val="24"/>
                <w:sz w:val="24"/>
                <w:szCs w:val="24"/>
                <w:lang w:eastAsia="en-GB"/>
              </w:rPr>
            </w:pPr>
          </w:p>
        </w:tc>
        <w:tc>
          <w:tcPr>
            <w:tcW w:w="495" w:type="dxa"/>
            <w:tcBorders>
              <w:left w:val="single" w:sz="4" w:space="0" w:color="auto"/>
            </w:tcBorders>
            <w:shd w:val="clear" w:color="auto" w:fill="FFFFFF" w:themeFill="background1"/>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right w:val="single" w:sz="4" w:space="0" w:color="auto"/>
            </w:tcBorders>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tcBorders>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D9D9D9" w:themeFill="background1" w:themeFillShade="D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righ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0D3BCB">
        <w:trPr>
          <w:trHeight w:val="319"/>
        </w:trPr>
        <w:tc>
          <w:tcPr>
            <w:tcW w:w="3546" w:type="dxa"/>
            <w:tcBorders>
              <w:left w:val="single" w:sz="4" w:space="0" w:color="auto"/>
              <w:bottom w:val="single" w:sz="4" w:space="0" w:color="auto"/>
              <w:right w:val="single" w:sz="4" w:space="0" w:color="auto"/>
            </w:tcBorders>
            <w:shd w:val="clear" w:color="auto" w:fill="E6E6E6"/>
            <w:tcMar>
              <w:top w:w="15" w:type="dxa"/>
              <w:left w:w="108" w:type="dxa"/>
              <w:bottom w:w="0" w:type="dxa"/>
              <w:right w:w="108" w:type="dxa"/>
            </w:tcMar>
          </w:tcPr>
          <w:p w:rsidR="000D3BCB" w:rsidRPr="003F62F9" w:rsidRDefault="000D3BCB" w:rsidP="000D3BCB">
            <w:pPr>
              <w:spacing w:after="0" w:line="240" w:lineRule="auto"/>
              <w:rPr>
                <w:rFonts w:ascii="Times New Roman" w:eastAsia="Times New Roman" w:hAnsi="Times New Roman" w:cs="Times New Roman"/>
                <w:bCs/>
                <w:color w:val="000000" w:themeColor="text1"/>
                <w:kern w:val="24"/>
                <w:lang w:eastAsia="en-GB"/>
              </w:rPr>
            </w:pPr>
            <w:r w:rsidRPr="003F62F9">
              <w:rPr>
                <w:rFonts w:ascii="Times New Roman" w:eastAsia="Times New Roman" w:hAnsi="Times New Roman" w:cs="Times New Roman"/>
                <w:bCs/>
                <w:color w:val="000000" w:themeColor="text1"/>
                <w:kern w:val="24"/>
                <w:lang w:eastAsia="en-GB"/>
              </w:rPr>
              <w:t>1.</w:t>
            </w:r>
            <w:r>
              <w:rPr>
                <w:rFonts w:ascii="Times New Roman" w:eastAsia="Times New Roman" w:hAnsi="Times New Roman" w:cs="Times New Roman"/>
                <w:bCs/>
                <w:color w:val="000000" w:themeColor="text1"/>
                <w:kern w:val="24"/>
                <w:lang w:eastAsia="en-GB"/>
              </w:rPr>
              <w:t>3</w:t>
            </w:r>
            <w:r w:rsidRPr="003F62F9">
              <w:rPr>
                <w:rFonts w:ascii="Times New Roman" w:eastAsia="Times New Roman" w:hAnsi="Times New Roman" w:cs="Times New Roman"/>
                <w:bCs/>
                <w:color w:val="000000" w:themeColor="text1"/>
                <w:kern w:val="24"/>
                <w:lang w:eastAsia="en-GB"/>
              </w:rPr>
              <w:t xml:space="preserve"> </w:t>
            </w:r>
            <w:r>
              <w:rPr>
                <w:rFonts w:ascii="Times New Roman" w:eastAsia="Times New Roman" w:hAnsi="Times New Roman" w:cs="Times New Roman"/>
                <w:bCs/>
                <w:color w:val="000000" w:themeColor="text1"/>
                <w:kern w:val="24"/>
                <w:lang w:eastAsia="en-GB"/>
              </w:rPr>
              <w:t xml:space="preserve">Scaffold internal </w:t>
            </w:r>
            <w:proofErr w:type="spellStart"/>
            <w:r>
              <w:rPr>
                <w:rFonts w:ascii="Times New Roman" w:eastAsia="Times New Roman" w:hAnsi="Times New Roman" w:cs="Times New Roman"/>
                <w:bCs/>
                <w:color w:val="000000" w:themeColor="text1"/>
                <w:kern w:val="24"/>
                <w:lang w:eastAsia="en-GB"/>
              </w:rPr>
              <w:t>interconnective</w:t>
            </w:r>
            <w:proofErr w:type="spellEnd"/>
            <w:r>
              <w:rPr>
                <w:rFonts w:ascii="Times New Roman" w:eastAsia="Times New Roman" w:hAnsi="Times New Roman" w:cs="Times New Roman"/>
                <w:bCs/>
                <w:color w:val="000000" w:themeColor="text1"/>
                <w:kern w:val="24"/>
                <w:lang w:eastAsia="en-GB"/>
              </w:rPr>
              <w:t xml:space="preserve"> pore structure design</w:t>
            </w:r>
          </w:p>
        </w:tc>
        <w:tc>
          <w:tcPr>
            <w:tcW w:w="495" w:type="dxa"/>
            <w:tcBorders>
              <w:left w:val="single" w:sz="4" w:space="0" w:color="auto"/>
              <w:bottom w:val="single" w:sz="4" w:space="0" w:color="auto"/>
            </w:tcBorders>
            <w:shd w:val="clear" w:color="auto" w:fill="FFFFFF" w:themeFill="background1"/>
            <w:tcMar>
              <w:top w:w="15" w:type="dxa"/>
              <w:left w:w="108" w:type="dxa"/>
              <w:bottom w:w="0" w:type="dxa"/>
              <w:right w:w="108" w:type="dxa"/>
            </w:tcMar>
          </w:tcPr>
          <w:p w:rsidR="000D3BCB" w:rsidRPr="00091FEA" w:rsidRDefault="000D3BCB" w:rsidP="000D3BCB">
            <w:pPr>
              <w:spacing w:after="0" w:line="240" w:lineRule="auto"/>
              <w:rPr>
                <w:rFonts w:ascii="Arial" w:eastAsia="Times New Roman" w:hAnsi="Arial" w:cs="Arial"/>
                <w:sz w:val="24"/>
                <w:szCs w:val="24"/>
                <w:lang w:eastAsia="en-GB"/>
              </w:rPr>
            </w:pPr>
          </w:p>
        </w:tc>
        <w:tc>
          <w:tcPr>
            <w:tcW w:w="495" w:type="dxa"/>
            <w:tcBorders>
              <w:bottom w:val="single" w:sz="4" w:space="0" w:color="auto"/>
            </w:tcBorders>
            <w:shd w:val="clear" w:color="auto" w:fill="D9D9D9" w:themeFill="background1" w:themeFillShade="D9"/>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tcBorders>
            <w:shd w:val="clear" w:color="auto" w:fill="D9D9D9" w:themeFill="background1" w:themeFillShade="D9"/>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bottom w:val="single" w:sz="4" w:space="0" w:color="auto"/>
              <w:right w:val="single" w:sz="4" w:space="0" w:color="auto"/>
            </w:tcBorders>
            <w:shd w:val="clear" w:color="auto" w:fill="D9D9D9" w:themeFill="background1" w:themeFillShade="D9"/>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bottom w:val="single" w:sz="4" w:space="0" w:color="auto"/>
            </w:tcBorders>
            <w:shd w:val="clear" w:color="auto" w:fill="D9D9D9" w:themeFill="background1" w:themeFillShade="D9"/>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tcBorders>
            <w:shd w:val="clear" w:color="auto" w:fill="D9D9D9" w:themeFill="background1" w:themeFillShade="D9"/>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0D3BCB">
        <w:trPr>
          <w:trHeight w:val="519"/>
        </w:trPr>
        <w:tc>
          <w:tcPr>
            <w:tcW w:w="3546" w:type="dxa"/>
            <w:vMerge w:val="restart"/>
            <w:tcBorders>
              <w:top w:val="single" w:sz="4" w:space="0" w:color="auto"/>
              <w:left w:val="single" w:sz="4" w:space="0" w:color="auto"/>
              <w:right w:val="single" w:sz="4" w:space="0" w:color="auto"/>
            </w:tcBorders>
            <w:shd w:val="clear" w:color="auto" w:fill="FFE599" w:themeFill="accent4" w:themeFillTint="66"/>
            <w:tcMar>
              <w:top w:w="15" w:type="dxa"/>
              <w:left w:w="108" w:type="dxa"/>
              <w:bottom w:w="0" w:type="dxa"/>
              <w:right w:w="108" w:type="dxa"/>
            </w:tcMar>
            <w:hideMark/>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W2. Physicochemical</w:t>
            </w:r>
            <w:r w:rsidRPr="00091FEA">
              <w:rPr>
                <w:rFonts w:ascii="Times New Roman" w:eastAsia="Times New Roman" w:hAnsi="Times New Roman" w:cs="Times New Roman"/>
                <w:b/>
                <w:bCs/>
                <w:color w:val="000000" w:themeColor="text1"/>
                <w:kern w:val="24"/>
                <w:sz w:val="24"/>
                <w:szCs w:val="24"/>
                <w:lang w:eastAsia="en-GB"/>
              </w:rPr>
              <w:t xml:space="preserve"> characterisation</w:t>
            </w:r>
          </w:p>
          <w:p w:rsidR="000D3BCB" w:rsidRDefault="000D3BCB" w:rsidP="000D3BCB">
            <w:pPr>
              <w:spacing w:after="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2</w:t>
            </w:r>
            <w:r w:rsidRPr="00091FEA">
              <w:rPr>
                <w:rFonts w:ascii="Times New Roman" w:eastAsia="Times New Roman" w:hAnsi="Times New Roman" w:cs="Times New Roman"/>
                <w:lang w:eastAsia="en-GB"/>
              </w:rPr>
              <w:t xml:space="preserve">.1 </w:t>
            </w:r>
            <w:r>
              <w:rPr>
                <w:rFonts w:ascii="Times New Roman" w:eastAsia="Times New Roman" w:hAnsi="Times New Roman" w:cs="Times New Roman"/>
                <w:lang w:eastAsia="en-GB"/>
              </w:rPr>
              <w:t>Mechanical (bulk &amp; micro- mechanical)</w:t>
            </w:r>
          </w:p>
          <w:p w:rsidR="000D3BCB" w:rsidRDefault="000D3BCB" w:rsidP="000D3BCB">
            <w:pPr>
              <w:spacing w:after="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2.2 Chemical (batch &amp; surface variability)</w:t>
            </w:r>
          </w:p>
          <w:p w:rsidR="000D3BCB" w:rsidRPr="00091FEA" w:rsidRDefault="000D3BCB" w:rsidP="000D3BCB">
            <w:pPr>
              <w:spacing w:after="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2.3 Ion release (ICP) and degradation studies</w:t>
            </w:r>
          </w:p>
        </w:tc>
        <w:tc>
          <w:tcPr>
            <w:tcW w:w="495" w:type="dxa"/>
            <w:tcBorders>
              <w:top w:val="single" w:sz="4" w:space="0" w:color="auto"/>
              <w:left w:val="single" w:sz="4" w:space="0" w:color="auto"/>
            </w:tcBorders>
            <w:shd w:val="clear" w:color="auto" w:fill="auto"/>
            <w:tcMar>
              <w:top w:w="15" w:type="dxa"/>
              <w:left w:w="108" w:type="dxa"/>
              <w:bottom w:w="0" w:type="dxa"/>
              <w:right w:w="108" w:type="dxa"/>
            </w:tcMar>
            <w:hideMark/>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right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left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righ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lef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tcBorders>
            <w:shd w:val="clear" w:color="auto" w:fill="FFE599" w:themeFill="accent4" w:themeFillTint="66"/>
          </w:tcPr>
          <w:p w:rsidR="000D3BCB" w:rsidRPr="00182E41" w:rsidRDefault="000D3BCB" w:rsidP="000D3BCB">
            <w:pPr>
              <w:spacing w:after="0" w:line="240" w:lineRule="auto"/>
              <w:rPr>
                <w:rFonts w:ascii="Times New Roman" w:eastAsia="Times New Roman" w:hAnsi="Times New Roman" w:cs="Times New Roman"/>
                <w:color w:val="FFE599" w:themeColor="accent4" w:themeTint="66"/>
                <w:sz w:val="24"/>
                <w:szCs w:val="24"/>
                <w:lang w:eastAsia="en-GB"/>
              </w:rPr>
            </w:pPr>
          </w:p>
        </w:tc>
        <w:tc>
          <w:tcPr>
            <w:tcW w:w="495" w:type="dxa"/>
            <w:tcBorders>
              <w:top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righ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0D3BCB">
        <w:trPr>
          <w:trHeight w:val="519"/>
        </w:trPr>
        <w:tc>
          <w:tcPr>
            <w:tcW w:w="3546" w:type="dxa"/>
            <w:vMerge/>
            <w:tcBorders>
              <w:left w:val="single" w:sz="4" w:space="0" w:color="auto"/>
              <w:right w:val="single" w:sz="4" w:space="0" w:color="auto"/>
            </w:tcBorders>
            <w:shd w:val="clear" w:color="auto" w:fill="FFE599" w:themeFill="accent4" w:themeFillTint="66"/>
            <w:tcMar>
              <w:top w:w="15" w:type="dxa"/>
              <w:left w:w="108" w:type="dxa"/>
              <w:bottom w:w="0" w:type="dxa"/>
              <w:right w:w="108" w:type="dxa"/>
            </w:tcMar>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p>
        </w:tc>
        <w:tc>
          <w:tcPr>
            <w:tcW w:w="495" w:type="dxa"/>
            <w:tcBorders>
              <w:left w:val="single" w:sz="4" w:space="0" w:color="auto"/>
            </w:tcBorders>
            <w:shd w:val="clear" w:color="auto" w:fill="auto"/>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right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righ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FFE599" w:themeFill="accent4" w:themeFillTint="66"/>
          </w:tcPr>
          <w:p w:rsidR="000D3BCB" w:rsidRPr="00182E41" w:rsidRDefault="000D3BCB" w:rsidP="000D3BCB">
            <w:pPr>
              <w:spacing w:after="0" w:line="240" w:lineRule="auto"/>
              <w:rPr>
                <w:rFonts w:ascii="Times New Roman" w:eastAsia="Times New Roman" w:hAnsi="Times New Roman" w:cs="Times New Roman"/>
                <w:color w:val="FFE599" w:themeColor="accent4" w:themeTint="66"/>
                <w:sz w:val="24"/>
                <w:szCs w:val="24"/>
                <w:lang w:eastAsia="en-GB"/>
              </w:rPr>
            </w:pPr>
          </w:p>
        </w:tc>
        <w:tc>
          <w:tcPr>
            <w:tcW w:w="495" w:type="dxa"/>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righ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D1585B">
        <w:trPr>
          <w:trHeight w:val="519"/>
        </w:trPr>
        <w:tc>
          <w:tcPr>
            <w:tcW w:w="3546" w:type="dxa"/>
            <w:vMerge/>
            <w:tcBorders>
              <w:left w:val="single" w:sz="4" w:space="0" w:color="auto"/>
              <w:right w:val="single" w:sz="4" w:space="0" w:color="auto"/>
            </w:tcBorders>
            <w:shd w:val="clear" w:color="auto" w:fill="FFE599" w:themeFill="accent4" w:themeFillTint="66"/>
            <w:tcMar>
              <w:top w:w="15" w:type="dxa"/>
              <w:left w:w="108" w:type="dxa"/>
              <w:bottom w:w="0" w:type="dxa"/>
              <w:right w:w="108" w:type="dxa"/>
            </w:tcMar>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p>
        </w:tc>
        <w:tc>
          <w:tcPr>
            <w:tcW w:w="495" w:type="dxa"/>
            <w:tcBorders>
              <w:left w:val="single" w:sz="4" w:space="0" w:color="auto"/>
            </w:tcBorders>
            <w:shd w:val="clear" w:color="auto" w:fill="auto"/>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right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FFE599" w:themeFill="accent4" w:themeFillTint="66"/>
          </w:tcPr>
          <w:p w:rsidR="000D3BCB" w:rsidRPr="00182E41" w:rsidRDefault="000D3BCB" w:rsidP="000D3BCB">
            <w:pPr>
              <w:spacing w:after="0" w:line="240" w:lineRule="auto"/>
              <w:rPr>
                <w:rFonts w:ascii="Times New Roman" w:eastAsia="Times New Roman" w:hAnsi="Times New Roman" w:cs="Times New Roman"/>
                <w:color w:val="FFE599" w:themeColor="accent4" w:themeTint="66"/>
                <w:sz w:val="24"/>
                <w:szCs w:val="24"/>
                <w:lang w:eastAsia="en-GB"/>
              </w:rPr>
            </w:pPr>
          </w:p>
        </w:tc>
        <w:tc>
          <w:tcPr>
            <w:tcW w:w="495" w:type="dxa"/>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righ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0D3BCB">
        <w:trPr>
          <w:trHeight w:val="519"/>
        </w:trPr>
        <w:tc>
          <w:tcPr>
            <w:tcW w:w="3546" w:type="dxa"/>
            <w:vMerge/>
            <w:tcBorders>
              <w:left w:val="single" w:sz="4" w:space="0" w:color="auto"/>
              <w:bottom w:val="single" w:sz="4" w:space="0" w:color="auto"/>
              <w:right w:val="single" w:sz="4" w:space="0" w:color="auto"/>
            </w:tcBorders>
            <w:shd w:val="clear" w:color="auto" w:fill="FFE599" w:themeFill="accent4" w:themeFillTint="66"/>
            <w:tcMar>
              <w:top w:w="15" w:type="dxa"/>
              <w:left w:w="108" w:type="dxa"/>
              <w:bottom w:w="0" w:type="dxa"/>
              <w:right w:w="108" w:type="dxa"/>
            </w:tcMar>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p>
        </w:tc>
        <w:tc>
          <w:tcPr>
            <w:tcW w:w="495" w:type="dxa"/>
            <w:tcBorders>
              <w:left w:val="single" w:sz="4" w:space="0" w:color="auto"/>
              <w:bottom w:val="single" w:sz="4" w:space="0" w:color="auto"/>
            </w:tcBorders>
            <w:shd w:val="clear" w:color="auto" w:fill="auto"/>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bottom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bottom w:val="single" w:sz="4" w:space="0" w:color="auto"/>
              <w:right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bottom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bottom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tcBorders>
            <w:shd w:val="clear" w:color="auto" w:fill="FFE599" w:themeFill="accent4" w:themeFillTint="66"/>
          </w:tcPr>
          <w:p w:rsidR="000D3BCB" w:rsidRPr="00182E41" w:rsidRDefault="000D3BCB" w:rsidP="000D3BCB">
            <w:pPr>
              <w:spacing w:after="0" w:line="240" w:lineRule="auto"/>
              <w:rPr>
                <w:rFonts w:ascii="Times New Roman" w:eastAsia="Times New Roman" w:hAnsi="Times New Roman" w:cs="Times New Roman"/>
                <w:color w:val="FFE599" w:themeColor="accent4" w:themeTint="66"/>
                <w:sz w:val="24"/>
                <w:szCs w:val="24"/>
                <w:lang w:eastAsia="en-GB"/>
              </w:rPr>
            </w:pPr>
          </w:p>
        </w:tc>
        <w:tc>
          <w:tcPr>
            <w:tcW w:w="495" w:type="dxa"/>
            <w:tcBorders>
              <w:bottom w:val="single" w:sz="4" w:space="0" w:color="auto"/>
            </w:tcBorders>
            <w:shd w:val="clear" w:color="auto" w:fill="FFE599" w:themeFill="accent4" w:themeFillTint="66"/>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righ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0D3BCB">
        <w:trPr>
          <w:trHeight w:val="444"/>
        </w:trPr>
        <w:tc>
          <w:tcPr>
            <w:tcW w:w="3546" w:type="dxa"/>
            <w:vMerge w:val="restart"/>
            <w:tcBorders>
              <w:top w:val="single" w:sz="4" w:space="0" w:color="auto"/>
              <w:left w:val="single" w:sz="4" w:space="0" w:color="auto"/>
              <w:right w:val="single" w:sz="4" w:space="0" w:color="auto"/>
            </w:tcBorders>
            <w:shd w:val="clear" w:color="auto" w:fill="FBE4D5" w:themeFill="accent2" w:themeFillTint="33"/>
            <w:tcMar>
              <w:top w:w="15" w:type="dxa"/>
              <w:left w:w="108" w:type="dxa"/>
              <w:bottom w:w="0" w:type="dxa"/>
              <w:right w:w="108" w:type="dxa"/>
            </w:tcMar>
            <w:hideMark/>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W3. Biological characterisation</w:t>
            </w:r>
          </w:p>
          <w:p w:rsidR="000D3BCB" w:rsidRPr="003F62F9" w:rsidRDefault="000D3BCB" w:rsidP="000D3BCB">
            <w:pPr>
              <w:spacing w:after="0" w:line="240" w:lineRule="auto"/>
              <w:jc w:val="both"/>
              <w:rPr>
                <w:rFonts w:ascii="Times New Roman" w:eastAsia="Times New Roman" w:hAnsi="Times New Roman" w:cs="Times New Roman"/>
                <w:bCs/>
                <w:color w:val="000000" w:themeColor="text1"/>
                <w:kern w:val="24"/>
                <w:lang w:eastAsia="en-GB"/>
              </w:rPr>
            </w:pPr>
            <w:r>
              <w:rPr>
                <w:rFonts w:ascii="Times New Roman" w:eastAsia="Times New Roman" w:hAnsi="Times New Roman" w:cs="Times New Roman"/>
                <w:bCs/>
                <w:color w:val="000000" w:themeColor="text1"/>
                <w:kern w:val="24"/>
                <w:lang w:eastAsia="en-GB"/>
              </w:rPr>
              <w:t>3</w:t>
            </w:r>
            <w:r w:rsidRPr="003F62F9">
              <w:rPr>
                <w:rFonts w:ascii="Times New Roman" w:eastAsia="Times New Roman" w:hAnsi="Times New Roman" w:cs="Times New Roman"/>
                <w:bCs/>
                <w:color w:val="000000" w:themeColor="text1"/>
                <w:kern w:val="24"/>
                <w:lang w:eastAsia="en-GB"/>
              </w:rPr>
              <w:t xml:space="preserve">.1 Protein interactions and bioactivity </w:t>
            </w:r>
          </w:p>
          <w:p w:rsidR="000D3BCB" w:rsidRPr="00091FEA" w:rsidRDefault="000D3BCB" w:rsidP="000D3BCB">
            <w:pPr>
              <w:spacing w:after="0" w:line="240" w:lineRule="auto"/>
              <w:jc w:val="both"/>
              <w:rPr>
                <w:rFonts w:ascii="Times New Roman" w:eastAsia="Times New Roman" w:hAnsi="Times New Roman" w:cs="Times New Roman"/>
                <w:bCs/>
                <w:color w:val="000000" w:themeColor="text1"/>
                <w:kern w:val="24"/>
                <w:lang w:eastAsia="en-GB"/>
              </w:rPr>
            </w:pPr>
            <w:r>
              <w:rPr>
                <w:rFonts w:ascii="Times New Roman" w:eastAsia="Times New Roman" w:hAnsi="Times New Roman" w:cs="Times New Roman"/>
                <w:bCs/>
                <w:color w:val="000000" w:themeColor="text1"/>
                <w:kern w:val="24"/>
                <w:lang w:eastAsia="en-GB"/>
              </w:rPr>
              <w:t>3</w:t>
            </w:r>
            <w:r w:rsidRPr="003F62F9">
              <w:rPr>
                <w:rFonts w:ascii="Times New Roman" w:eastAsia="Times New Roman" w:hAnsi="Times New Roman" w:cs="Times New Roman"/>
                <w:bCs/>
                <w:color w:val="000000" w:themeColor="text1"/>
                <w:kern w:val="24"/>
                <w:lang w:eastAsia="en-GB"/>
              </w:rPr>
              <w:t>.2 Cell interactions (</w:t>
            </w:r>
            <w:r>
              <w:rPr>
                <w:rFonts w:ascii="Times New Roman" w:eastAsia="Times New Roman" w:hAnsi="Times New Roman" w:cs="Times New Roman"/>
                <w:bCs/>
                <w:color w:val="000000" w:themeColor="text1"/>
                <w:kern w:val="24"/>
                <w:lang w:eastAsia="en-GB"/>
              </w:rPr>
              <w:t xml:space="preserve">mesenchymal stem cell &amp; </w:t>
            </w:r>
            <w:r w:rsidRPr="003F62F9">
              <w:rPr>
                <w:rFonts w:ascii="Times New Roman" w:eastAsia="Times New Roman" w:hAnsi="Times New Roman" w:cs="Times New Roman"/>
                <w:bCs/>
                <w:color w:val="000000" w:themeColor="text1"/>
                <w:kern w:val="24"/>
                <w:lang w:eastAsia="en-GB"/>
              </w:rPr>
              <w:t>osteobl</w:t>
            </w:r>
            <w:r>
              <w:rPr>
                <w:rFonts w:ascii="Times New Roman" w:eastAsia="Times New Roman" w:hAnsi="Times New Roman" w:cs="Times New Roman"/>
                <w:bCs/>
                <w:color w:val="000000" w:themeColor="text1"/>
                <w:kern w:val="24"/>
                <w:lang w:eastAsia="en-GB"/>
              </w:rPr>
              <w:t>ast proliferation)</w:t>
            </w:r>
          </w:p>
        </w:tc>
        <w:tc>
          <w:tcPr>
            <w:tcW w:w="495" w:type="dxa"/>
            <w:tcBorders>
              <w:top w:val="single" w:sz="4" w:space="0" w:color="auto"/>
              <w:left w:val="single" w:sz="4" w:space="0" w:color="auto"/>
            </w:tcBorders>
            <w:shd w:val="clear" w:color="auto" w:fill="FFFFFF" w:themeFill="background1"/>
            <w:tcMar>
              <w:top w:w="15" w:type="dxa"/>
              <w:left w:w="108" w:type="dxa"/>
              <w:bottom w:w="0" w:type="dxa"/>
              <w:right w:w="108" w:type="dxa"/>
            </w:tcMar>
            <w:hideMark/>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right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left w:val="single" w:sz="4" w:space="0" w:color="auto"/>
            </w:tcBorders>
            <w:shd w:val="clear" w:color="auto" w:fill="FBE4D5" w:themeFill="accent2" w:themeFillTint="33"/>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tcBorders>
            <w:shd w:val="clear" w:color="auto" w:fill="auto"/>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lef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0D3BCB">
        <w:trPr>
          <w:trHeight w:val="287"/>
        </w:trPr>
        <w:tc>
          <w:tcPr>
            <w:tcW w:w="3546" w:type="dxa"/>
            <w:vMerge/>
            <w:tcBorders>
              <w:left w:val="single" w:sz="4" w:space="0" w:color="auto"/>
              <w:right w:val="single" w:sz="4" w:space="0" w:color="auto"/>
            </w:tcBorders>
            <w:shd w:val="clear" w:color="auto" w:fill="FBE4D5" w:themeFill="accent2" w:themeFillTint="33"/>
            <w:tcMar>
              <w:top w:w="15" w:type="dxa"/>
              <w:left w:w="108" w:type="dxa"/>
              <w:bottom w:w="0" w:type="dxa"/>
              <w:right w:w="108" w:type="dxa"/>
            </w:tcMar>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p>
        </w:tc>
        <w:tc>
          <w:tcPr>
            <w:tcW w:w="495" w:type="dxa"/>
            <w:tcBorders>
              <w:left w:val="single" w:sz="4" w:space="0" w:color="auto"/>
            </w:tcBorders>
            <w:shd w:val="clear" w:color="auto" w:fill="FFFFFF" w:themeFill="background1"/>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tcBorders>
            <w:shd w:val="clear" w:color="auto" w:fill="FBE4D5" w:themeFill="accent2" w:themeFillTint="33"/>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FBE4D5" w:themeFill="accent2" w:themeFillTint="33"/>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0D3BCB">
        <w:trPr>
          <w:trHeight w:val="378"/>
        </w:trPr>
        <w:tc>
          <w:tcPr>
            <w:tcW w:w="3546" w:type="dxa"/>
            <w:tcBorders>
              <w:left w:val="single" w:sz="4" w:space="0" w:color="auto"/>
              <w:bottom w:val="single" w:sz="4" w:space="0" w:color="auto"/>
              <w:right w:val="single" w:sz="4" w:space="0" w:color="auto"/>
            </w:tcBorders>
            <w:shd w:val="clear" w:color="auto" w:fill="FBE4D5" w:themeFill="accent2" w:themeFillTint="33"/>
            <w:tcMar>
              <w:top w:w="15" w:type="dxa"/>
              <w:left w:w="108" w:type="dxa"/>
              <w:bottom w:w="0" w:type="dxa"/>
              <w:right w:w="108" w:type="dxa"/>
            </w:tcMar>
          </w:tcPr>
          <w:p w:rsidR="000D3BCB" w:rsidRPr="003F62F9" w:rsidRDefault="000D3BCB" w:rsidP="000D3BCB">
            <w:pPr>
              <w:spacing w:after="0" w:line="240" w:lineRule="auto"/>
              <w:jc w:val="both"/>
              <w:rPr>
                <w:rFonts w:ascii="Times New Roman" w:eastAsia="Times New Roman" w:hAnsi="Times New Roman" w:cs="Times New Roman"/>
                <w:bCs/>
                <w:color w:val="000000" w:themeColor="text1"/>
                <w:kern w:val="24"/>
                <w:lang w:eastAsia="en-GB"/>
              </w:rPr>
            </w:pPr>
            <w:r>
              <w:rPr>
                <w:rFonts w:ascii="Times New Roman" w:eastAsia="Times New Roman" w:hAnsi="Times New Roman" w:cs="Times New Roman"/>
                <w:bCs/>
                <w:color w:val="000000" w:themeColor="text1"/>
                <w:kern w:val="24"/>
                <w:lang w:eastAsia="en-GB"/>
              </w:rPr>
              <w:t>3</w:t>
            </w:r>
            <w:r w:rsidRPr="003F62F9">
              <w:rPr>
                <w:rFonts w:ascii="Times New Roman" w:eastAsia="Times New Roman" w:hAnsi="Times New Roman" w:cs="Times New Roman"/>
                <w:bCs/>
                <w:color w:val="000000" w:themeColor="text1"/>
                <w:kern w:val="24"/>
                <w:lang w:eastAsia="en-GB"/>
              </w:rPr>
              <w:t>.3 Bone nodule formation</w:t>
            </w:r>
          </w:p>
        </w:tc>
        <w:tc>
          <w:tcPr>
            <w:tcW w:w="495" w:type="dxa"/>
            <w:tcBorders>
              <w:left w:val="single" w:sz="4" w:space="0" w:color="auto"/>
              <w:bottom w:val="single" w:sz="4" w:space="0" w:color="auto"/>
            </w:tcBorders>
            <w:shd w:val="clear" w:color="auto" w:fill="FFFFFF" w:themeFill="background1"/>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bottom w:val="single" w:sz="4" w:space="0" w:color="auto"/>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tcBorders>
            <w:shd w:val="clear" w:color="auto" w:fill="FBE4D5" w:themeFill="accent2" w:themeFillTint="33"/>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bottom w:val="single" w:sz="4" w:space="0" w:color="auto"/>
            </w:tcBorders>
            <w:shd w:val="clear" w:color="auto" w:fill="FBE4D5" w:themeFill="accent2" w:themeFillTint="33"/>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right w:val="single" w:sz="4" w:space="0" w:color="auto"/>
            </w:tcBorders>
            <w:shd w:val="clear" w:color="auto" w:fill="FBE4D5" w:themeFill="accent2" w:themeFillTint="33"/>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left w:val="single" w:sz="4" w:space="0" w:color="auto"/>
              <w:bottom w:val="single" w:sz="4" w:space="0" w:color="auto"/>
            </w:tcBorders>
            <w:shd w:val="clear" w:color="auto" w:fill="FBE4D5" w:themeFill="accent2" w:themeFillTint="33"/>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bottom w:val="single" w:sz="4" w:space="0" w:color="auto"/>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0D3BCB">
        <w:trPr>
          <w:trHeight w:val="444"/>
        </w:trPr>
        <w:tc>
          <w:tcPr>
            <w:tcW w:w="3546"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08" w:type="dxa"/>
              <w:bottom w:w="0" w:type="dxa"/>
              <w:right w:w="108" w:type="dxa"/>
            </w:tcMar>
          </w:tcPr>
          <w:p w:rsidR="000D3BCB" w:rsidRDefault="000D3BCB" w:rsidP="00D1585B">
            <w:pPr>
              <w:spacing w:after="0" w:line="240" w:lineRule="auto"/>
              <w:jc w:val="both"/>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 xml:space="preserve">W4. </w:t>
            </w:r>
            <w:r w:rsidR="00D1585B">
              <w:rPr>
                <w:rFonts w:ascii="Times New Roman" w:eastAsia="Times New Roman" w:hAnsi="Times New Roman" w:cs="Times New Roman"/>
                <w:b/>
                <w:bCs/>
                <w:color w:val="000000" w:themeColor="text1"/>
                <w:kern w:val="24"/>
                <w:sz w:val="24"/>
                <w:szCs w:val="24"/>
                <w:lang w:eastAsia="en-GB"/>
              </w:rPr>
              <w:t>Optimized Implant development</w:t>
            </w:r>
            <w:r>
              <w:rPr>
                <w:rFonts w:ascii="Times New Roman" w:eastAsia="Times New Roman" w:hAnsi="Times New Roman" w:cs="Times New Roman"/>
                <w:b/>
                <w:bCs/>
                <w:color w:val="000000" w:themeColor="text1"/>
                <w:kern w:val="24"/>
                <w:sz w:val="24"/>
                <w:szCs w:val="24"/>
                <w:lang w:eastAsia="en-GB"/>
              </w:rPr>
              <w:t xml:space="preserve">  </w:t>
            </w:r>
          </w:p>
        </w:tc>
        <w:tc>
          <w:tcPr>
            <w:tcW w:w="495" w:type="dxa"/>
            <w:tcBorders>
              <w:top w:val="single" w:sz="4" w:space="0" w:color="auto"/>
              <w:left w:val="single" w:sz="4" w:space="0" w:color="auto"/>
              <w:bottom w:val="single" w:sz="4" w:space="0" w:color="auto"/>
            </w:tcBorders>
            <w:shd w:val="clear" w:color="auto" w:fill="FFFFFF" w:themeFill="background1"/>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bottom w:val="single" w:sz="4" w:space="0" w:color="auto"/>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left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bottom w:val="single" w:sz="4" w:space="0" w:color="auto"/>
              <w:right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left w:val="single" w:sz="4" w:space="0" w:color="auto"/>
              <w:bottom w:val="single" w:sz="4" w:space="0" w:color="auto"/>
            </w:tcBorders>
            <w:shd w:val="clear" w:color="auto" w:fill="FFFFFF" w:themeFill="background1"/>
          </w:tcPr>
          <w:p w:rsidR="000D3BCB"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bottom w:val="single" w:sz="4" w:space="0" w:color="auto"/>
            </w:tcBorders>
            <w:shd w:val="clear" w:color="auto" w:fill="DEEAF6" w:themeFill="accent1" w:themeFillTint="33"/>
          </w:tcPr>
          <w:p w:rsidR="000D3BCB"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bottom w:val="single" w:sz="4" w:space="0" w:color="auto"/>
            </w:tcBorders>
            <w:shd w:val="clear" w:color="auto" w:fill="DEEAF6" w:themeFill="accent1" w:themeFillTint="33"/>
          </w:tcPr>
          <w:p w:rsidR="000D3BCB"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bottom w:val="single" w:sz="4" w:space="0" w:color="auto"/>
              <w:right w:val="single" w:sz="4" w:space="0" w:color="auto"/>
            </w:tcBorders>
            <w:shd w:val="clear" w:color="auto" w:fill="DEEAF6" w:themeFill="accent1" w:themeFillTint="33"/>
          </w:tcPr>
          <w:p w:rsidR="000D3BCB" w:rsidRDefault="000D3BCB" w:rsidP="000D3BCB">
            <w:pPr>
              <w:spacing w:after="0" w:line="240" w:lineRule="auto"/>
              <w:rPr>
                <w:rFonts w:ascii="Times New Roman" w:eastAsia="Times New Roman" w:hAnsi="Times New Roman" w:cs="Times New Roman"/>
                <w:sz w:val="24"/>
                <w:szCs w:val="24"/>
                <w:lang w:eastAsia="en-GB"/>
              </w:rPr>
            </w:pPr>
          </w:p>
        </w:tc>
      </w:tr>
      <w:tr w:rsidR="000D3BCB" w:rsidRPr="00091FEA" w:rsidTr="000D3BCB">
        <w:trPr>
          <w:trHeight w:val="444"/>
        </w:trPr>
        <w:tc>
          <w:tcPr>
            <w:tcW w:w="354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tcPr>
          <w:p w:rsidR="000D3BCB" w:rsidRDefault="000D3BCB" w:rsidP="000D3BCB">
            <w:pPr>
              <w:spacing w:after="0" w:line="240" w:lineRule="auto"/>
              <w:jc w:val="both"/>
              <w:rPr>
                <w:rFonts w:ascii="Times New Roman" w:eastAsia="Times New Roman" w:hAnsi="Times New Roman" w:cs="Times New Roman"/>
                <w:b/>
                <w:bCs/>
                <w:color w:val="000000" w:themeColor="text1"/>
                <w:kern w:val="24"/>
                <w:sz w:val="24"/>
                <w:szCs w:val="24"/>
                <w:lang w:eastAsia="en-GB"/>
              </w:rPr>
            </w:pPr>
            <w:r>
              <w:rPr>
                <w:rFonts w:ascii="Times New Roman" w:eastAsia="Times New Roman" w:hAnsi="Times New Roman" w:cs="Times New Roman"/>
                <w:b/>
                <w:bCs/>
                <w:color w:val="000000" w:themeColor="text1"/>
                <w:kern w:val="24"/>
                <w:sz w:val="24"/>
                <w:szCs w:val="24"/>
                <w:lang w:eastAsia="en-GB"/>
              </w:rPr>
              <w:t xml:space="preserve">W5. Project management &amp; Dissemination </w:t>
            </w:r>
          </w:p>
        </w:tc>
        <w:tc>
          <w:tcPr>
            <w:tcW w:w="495" w:type="dxa"/>
            <w:tcBorders>
              <w:top w:val="single" w:sz="4" w:space="0" w:color="auto"/>
              <w:left w:val="single" w:sz="4" w:space="0" w:color="auto"/>
              <w:bottom w:val="single" w:sz="4" w:space="0" w:color="auto"/>
            </w:tcBorders>
            <w:shd w:val="clear" w:color="auto" w:fill="FFFFFF" w:themeFill="background1"/>
            <w:tcMar>
              <w:top w:w="15" w:type="dxa"/>
              <w:left w:w="108" w:type="dxa"/>
              <w:bottom w:w="0" w:type="dxa"/>
              <w:right w:w="108" w:type="dxa"/>
            </w:tcMar>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bottom w:val="single" w:sz="4" w:space="0" w:color="auto"/>
            </w:tcBorders>
            <w:shd w:val="clear" w:color="auto" w:fill="A8D08D" w:themeFill="accent6" w:themeFillTint="9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w:t>
            </w:r>
          </w:p>
        </w:tc>
        <w:tc>
          <w:tcPr>
            <w:tcW w:w="496" w:type="dxa"/>
            <w:tcBorders>
              <w:top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5" w:type="dxa"/>
            <w:tcBorders>
              <w:top w:val="single" w:sz="4" w:space="0" w:color="auto"/>
              <w:bottom w:val="single" w:sz="4" w:space="0" w:color="auto"/>
              <w:right w:val="single" w:sz="4" w:space="0" w:color="auto"/>
            </w:tcBorders>
            <w:shd w:val="clear" w:color="auto" w:fill="A8D08D" w:themeFill="accent6" w:themeFillTint="9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r w:rsidRPr="000D3BCB">
              <w:rPr>
                <w:rFonts w:ascii="Times New Roman" w:eastAsia="Times New Roman" w:hAnsi="Times New Roman" w:cs="Times New Roman"/>
                <w:sz w:val="24"/>
                <w:szCs w:val="24"/>
                <w:lang w:eastAsia="en-GB"/>
              </w:rPr>
              <w:t>M2</w:t>
            </w:r>
          </w:p>
        </w:tc>
        <w:tc>
          <w:tcPr>
            <w:tcW w:w="496" w:type="dxa"/>
            <w:tcBorders>
              <w:top w:val="single" w:sz="4" w:space="0" w:color="auto"/>
              <w:left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bottom w:val="single" w:sz="4" w:space="0" w:color="auto"/>
            </w:tcBorders>
            <w:shd w:val="clear" w:color="auto" w:fill="A8D08D" w:themeFill="accent6" w:themeFillTint="9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r w:rsidRPr="000D3BCB">
              <w:rPr>
                <w:rFonts w:ascii="Times New Roman" w:eastAsia="Times New Roman" w:hAnsi="Times New Roman" w:cs="Times New Roman"/>
                <w:sz w:val="24"/>
                <w:szCs w:val="24"/>
                <w:lang w:eastAsia="en-GB"/>
              </w:rPr>
              <w:t>M3</w:t>
            </w:r>
          </w:p>
        </w:tc>
        <w:tc>
          <w:tcPr>
            <w:tcW w:w="495" w:type="dxa"/>
            <w:tcBorders>
              <w:top w:val="single" w:sz="4" w:space="0" w:color="auto"/>
              <w:bottom w:val="single" w:sz="4" w:space="0" w:color="auto"/>
            </w:tcBorders>
            <w:shd w:val="clear" w:color="auto" w:fill="FFFFFF" w:themeFill="background1"/>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bottom w:val="single" w:sz="4" w:space="0" w:color="auto"/>
              <w:right w:val="single" w:sz="4" w:space="0" w:color="auto"/>
            </w:tcBorders>
            <w:shd w:val="clear" w:color="auto" w:fill="A8D08D" w:themeFill="accent6" w:themeFillTint="99"/>
          </w:tcPr>
          <w:p w:rsidR="000D3BCB" w:rsidRPr="00091FEA" w:rsidRDefault="000D3BCB" w:rsidP="000D3BC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M4</w:t>
            </w:r>
          </w:p>
        </w:tc>
        <w:tc>
          <w:tcPr>
            <w:tcW w:w="496" w:type="dxa"/>
            <w:tcBorders>
              <w:top w:val="single" w:sz="4" w:space="0" w:color="auto"/>
              <w:left w:val="single" w:sz="4" w:space="0" w:color="auto"/>
              <w:bottom w:val="single" w:sz="4" w:space="0" w:color="auto"/>
            </w:tcBorders>
            <w:shd w:val="clear" w:color="auto" w:fill="FFFFFF" w:themeFill="background1"/>
          </w:tcPr>
          <w:p w:rsidR="000D3BCB"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bottom w:val="single" w:sz="4" w:space="0" w:color="auto"/>
            </w:tcBorders>
            <w:shd w:val="clear" w:color="auto" w:fill="A8D08D" w:themeFill="accent6" w:themeFillTint="99"/>
          </w:tcPr>
          <w:p w:rsidR="000D3BCB" w:rsidRDefault="000D3BCB" w:rsidP="000D3BCB">
            <w:pPr>
              <w:spacing w:after="0" w:line="240" w:lineRule="auto"/>
              <w:rPr>
                <w:rFonts w:ascii="Times New Roman" w:eastAsia="Times New Roman" w:hAnsi="Times New Roman" w:cs="Times New Roman"/>
                <w:sz w:val="24"/>
                <w:szCs w:val="24"/>
                <w:lang w:eastAsia="en-GB"/>
              </w:rPr>
            </w:pPr>
            <w:r w:rsidRPr="000D3BCB">
              <w:rPr>
                <w:rFonts w:ascii="Times New Roman" w:eastAsia="Times New Roman" w:hAnsi="Times New Roman" w:cs="Times New Roman"/>
                <w:sz w:val="24"/>
                <w:szCs w:val="24"/>
                <w:lang w:eastAsia="en-GB"/>
              </w:rPr>
              <w:t>M5</w:t>
            </w:r>
          </w:p>
        </w:tc>
        <w:tc>
          <w:tcPr>
            <w:tcW w:w="495" w:type="dxa"/>
            <w:tcBorders>
              <w:top w:val="single" w:sz="4" w:space="0" w:color="auto"/>
              <w:bottom w:val="single" w:sz="4" w:space="0" w:color="auto"/>
            </w:tcBorders>
            <w:shd w:val="clear" w:color="auto" w:fill="FFFFFF" w:themeFill="background1"/>
          </w:tcPr>
          <w:p w:rsidR="000D3BCB" w:rsidRDefault="000D3BCB" w:rsidP="000D3BCB">
            <w:pPr>
              <w:spacing w:after="0" w:line="240" w:lineRule="auto"/>
              <w:rPr>
                <w:rFonts w:ascii="Times New Roman" w:eastAsia="Times New Roman" w:hAnsi="Times New Roman" w:cs="Times New Roman"/>
                <w:sz w:val="24"/>
                <w:szCs w:val="24"/>
                <w:lang w:eastAsia="en-GB"/>
              </w:rPr>
            </w:pPr>
          </w:p>
        </w:tc>
        <w:tc>
          <w:tcPr>
            <w:tcW w:w="496" w:type="dxa"/>
            <w:tcBorders>
              <w:top w:val="single" w:sz="4" w:space="0" w:color="auto"/>
              <w:bottom w:val="single" w:sz="4" w:space="0" w:color="auto"/>
              <w:right w:val="single" w:sz="4" w:space="0" w:color="auto"/>
            </w:tcBorders>
            <w:shd w:val="clear" w:color="auto" w:fill="A8D08D" w:themeFill="accent6" w:themeFillTint="99"/>
          </w:tcPr>
          <w:p w:rsidR="000D3BCB" w:rsidRDefault="000D3BCB" w:rsidP="000D3BCB">
            <w:pPr>
              <w:spacing w:after="0" w:line="240" w:lineRule="auto"/>
              <w:rPr>
                <w:rFonts w:ascii="Times New Roman" w:eastAsia="Times New Roman" w:hAnsi="Times New Roman" w:cs="Times New Roman"/>
                <w:sz w:val="24"/>
                <w:szCs w:val="24"/>
                <w:lang w:eastAsia="en-GB"/>
              </w:rPr>
            </w:pPr>
            <w:r w:rsidRPr="000D3BCB">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6</w:t>
            </w:r>
          </w:p>
        </w:tc>
      </w:tr>
    </w:tbl>
    <w:p w:rsidR="00264D5B" w:rsidRDefault="00791890">
      <w:r>
        <w:t xml:space="preserve">M1 </w:t>
      </w:r>
      <w:r w:rsidR="00D1585B">
        <w:t>Development of printable hybrid</w:t>
      </w:r>
      <w:r>
        <w:t xml:space="preserve">, M2 optimised scaffold </w:t>
      </w:r>
      <w:r w:rsidR="00D1585B">
        <w:t>structure</w:t>
      </w:r>
      <w:r>
        <w:t xml:space="preserve">, M3 </w:t>
      </w:r>
      <w:r w:rsidR="000D3BCB">
        <w:t>physicochemical characterisation, M4</w:t>
      </w:r>
      <w:r>
        <w:t xml:space="preserve"> initial cell studies, M</w:t>
      </w:r>
      <w:r w:rsidR="000D3BCB">
        <w:t>5</w:t>
      </w:r>
      <w:r>
        <w:t xml:space="preserve"> </w:t>
      </w:r>
      <w:r w:rsidR="000D3BCB">
        <w:t>bone nodule studies, M6 in vivo studies &amp;/or re-optimisation of scaffold</w:t>
      </w:r>
    </w:p>
    <w:p w:rsidR="00E55B41" w:rsidRPr="00E55B41" w:rsidRDefault="00E55B41">
      <w:pPr>
        <w:rPr>
          <w:b/>
          <w:sz w:val="24"/>
          <w:szCs w:val="24"/>
        </w:rPr>
      </w:pPr>
      <w:r w:rsidRPr="00E55B41">
        <w:rPr>
          <w:b/>
          <w:noProof/>
          <w:sz w:val="24"/>
          <w:szCs w:val="24"/>
          <w:lang w:eastAsia="en-GB"/>
        </w:rPr>
        <mc:AlternateContent>
          <mc:Choice Requires="wps">
            <w:drawing>
              <wp:anchor distT="0" distB="0" distL="114300" distR="114300" simplePos="0" relativeHeight="251659264" behindDoc="0" locked="0" layoutInCell="1" allowOverlap="1" wp14:anchorId="657DCA45" wp14:editId="25C5B1ED">
                <wp:simplePos x="0" y="0"/>
                <wp:positionH relativeFrom="column">
                  <wp:posOffset>-38100</wp:posOffset>
                </wp:positionH>
                <wp:positionV relativeFrom="paragraph">
                  <wp:posOffset>175260</wp:posOffset>
                </wp:positionV>
                <wp:extent cx="61264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186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3.8pt" to="479.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SftAEAALcDAAAOAAAAZHJzL2Uyb0RvYy54bWysU02P0zAQvSPxHyzfaZoKVauo6R66gguC&#10;ioUf4HXGjYXtscamaf89Y7fNIhYhhLg4/nhvZt6byeb+5J04AiWLoZftYikFBI2DDYdefv3y7s2d&#10;FCmrMCiHAXp5hiTvt69fbabYwQpHdAOQ4CAhdVPs5Zhz7Jom6RG8SguMEPjRIHmV+UiHZiA1cXTv&#10;mtVyuW4mpCESakiJbx8uj3Jb4xsDOn8yJkEWrpdcW64r1fWprM12o7oDqThafS1D/UMVXtnASedQ&#10;Dyor8Z3si1DeasKEJi80+gaNsRqqBlbTLn9R8ziqCFULm5PibFP6f2H1x+OehB24d1IE5blFj5mU&#10;PYxZ7DAENhBJtMWnKaaO4buwp+spxT0V0SdDvnxZjjhVb8+zt3DKQvPlul2t395xC/TtrXkmRkr5&#10;PaAXZdNLZ0ORrTp1/JAyJ2PoDcKHUsgldd3ls4MCduEzGJbCydrKrkMEO0fiqLj9w7cqg2NVZKEY&#10;69xMWv6ZdMUWGtTB+lvijK4ZMeSZ6G1A+l3WfLqVai74m+qL1iL7CYdzbUS1g6ejunSd5DJ+P58r&#10;/fl/2/4AAAD//wMAUEsDBBQABgAIAAAAIQAR6Vn63AAAAAgBAAAPAAAAZHJzL2Rvd25yZXYueG1s&#10;TI/BTsMwDIbvSLxDZCRuW0olytY1naZJCHFBrIN71mRpIXGqJO3K22PEAY72b/3+vmo7O8smHWLv&#10;UcDdMgOmsfWqRyPg7fi4WAGLSaKS1qMW8KUjbOvrq0qWyl/woKcmGUYlGEspoEtpKDmPbaedjEs/&#10;aKTs7IOTicZguAryQuXO8jzLCu5kj/Shk4Ped7r9bEYnwD6H6d3szS6OT4ei+Xg95y/HSYjbm3m3&#10;AZb0nP6O4Qef0KEmppMfUUVmBSwKUkkC8ocCGOXr+xWpnH4XvK74f4H6GwAA//8DAFBLAQItABQA&#10;BgAIAAAAIQC2gziS/gAAAOEBAAATAAAAAAAAAAAAAAAAAAAAAABbQ29udGVudF9UeXBlc10ueG1s&#10;UEsBAi0AFAAGAAgAAAAhADj9If/WAAAAlAEAAAsAAAAAAAAAAAAAAAAALwEAAF9yZWxzLy5yZWxz&#10;UEsBAi0AFAAGAAgAAAAhANYd9J+0AQAAtwMAAA4AAAAAAAAAAAAAAAAALgIAAGRycy9lMm9Eb2Mu&#10;eG1sUEsBAi0AFAAGAAgAAAAhABHpWfrcAAAACAEAAA8AAAAAAAAAAAAAAAAADgQAAGRycy9kb3du&#10;cmV2LnhtbFBLBQYAAAAABAAEAPMAAAAXBQAAAAA=&#10;" strokecolor="black [3200]" strokeweight=".5pt">
                <v:stroke joinstyle="miter"/>
              </v:line>
            </w:pict>
          </mc:Fallback>
        </mc:AlternateContent>
      </w:r>
      <w:r w:rsidRPr="00E55B41">
        <w:rPr>
          <w:b/>
          <w:sz w:val="24"/>
          <w:szCs w:val="24"/>
        </w:rPr>
        <w:t>Work packages</w:t>
      </w:r>
    </w:p>
    <w:p w:rsidR="00EF28FA" w:rsidRPr="00BC44AE" w:rsidRDefault="00EF28FA" w:rsidP="006F43FC">
      <w:pPr>
        <w:spacing w:after="60" w:line="240" w:lineRule="auto"/>
        <w:rPr>
          <w:b/>
        </w:rPr>
      </w:pPr>
      <w:r w:rsidRPr="00BC44AE">
        <w:rPr>
          <w:b/>
        </w:rPr>
        <w:t>W</w:t>
      </w:r>
      <w:r w:rsidR="00B04FAD">
        <w:rPr>
          <w:b/>
        </w:rPr>
        <w:t xml:space="preserve">ork </w:t>
      </w:r>
      <w:r w:rsidRPr="00BC44AE">
        <w:rPr>
          <w:b/>
        </w:rPr>
        <w:t>P</w:t>
      </w:r>
      <w:r w:rsidR="00B04FAD">
        <w:rPr>
          <w:b/>
        </w:rPr>
        <w:t xml:space="preserve">ackage </w:t>
      </w:r>
      <w:r w:rsidRPr="00BC44AE">
        <w:rPr>
          <w:b/>
        </w:rPr>
        <w:t>1. Scaffold creation</w:t>
      </w:r>
    </w:p>
    <w:p w:rsidR="00091FEA" w:rsidRPr="00C61E6E" w:rsidRDefault="00A734C9" w:rsidP="006F43FC">
      <w:pPr>
        <w:spacing w:after="60" w:line="240" w:lineRule="auto"/>
        <w:rPr>
          <w:i/>
        </w:rPr>
      </w:pPr>
      <w:r w:rsidRPr="00B04FAD">
        <w:rPr>
          <w:b/>
        </w:rPr>
        <w:t>1.1</w:t>
      </w:r>
      <w:r w:rsidRPr="00486FA3">
        <w:t xml:space="preserve"> Development of the 3D printed </w:t>
      </w:r>
      <w:r w:rsidR="00814D42" w:rsidRPr="00486FA3">
        <w:t>scaffolds</w:t>
      </w:r>
      <w:r w:rsidR="00EF28FA" w:rsidRPr="00486FA3">
        <w:t>.</w:t>
      </w:r>
      <w:r w:rsidR="00814D42" w:rsidRPr="00486FA3">
        <w:t xml:space="preserve"> </w:t>
      </w:r>
      <w:r w:rsidR="00EF28FA" w:rsidRPr="00486FA3">
        <w:t xml:space="preserve"> </w:t>
      </w:r>
      <w:r w:rsidR="00486FA3" w:rsidRPr="00486FA3">
        <w:t xml:space="preserve">Optimisation of the composition of </w:t>
      </w:r>
      <w:r w:rsidR="00786D7E">
        <w:t xml:space="preserve">the </w:t>
      </w:r>
      <w:r w:rsidR="00486FA3" w:rsidRPr="00486FA3">
        <w:t xml:space="preserve">hybrid </w:t>
      </w:r>
      <w:r w:rsidR="00786D7E">
        <w:t xml:space="preserve">(% of bioactive glasses and OCT) </w:t>
      </w:r>
      <w:r w:rsidR="00486FA3" w:rsidRPr="00486FA3">
        <w:t>and processing conditions of the scaffold (including rheology, printing temperature and printing speed).</w:t>
      </w:r>
      <w:r w:rsidR="00486FA3">
        <w:rPr>
          <w:i/>
        </w:rPr>
        <w:t xml:space="preserve"> </w:t>
      </w:r>
    </w:p>
    <w:p w:rsidR="00786D7E" w:rsidRDefault="009A3CF8" w:rsidP="003877A8">
      <w:pPr>
        <w:spacing w:after="100"/>
      </w:pPr>
      <w:r w:rsidRPr="00B04FAD">
        <w:rPr>
          <w:b/>
        </w:rPr>
        <w:t>1.2</w:t>
      </w:r>
      <w:r>
        <w:t xml:space="preserve"> The </w:t>
      </w:r>
      <w:r w:rsidR="00786D7E">
        <w:t xml:space="preserve">reconstruction and design </w:t>
      </w:r>
      <w:r>
        <w:t xml:space="preserve">of “real” maxillofacial </w:t>
      </w:r>
      <w:r w:rsidR="006235E0">
        <w:t>patient defect</w:t>
      </w:r>
      <w:r>
        <w:t>s</w:t>
      </w:r>
      <w:r w:rsidR="006235E0">
        <w:t xml:space="preserve"> (CT scans/ MRI)</w:t>
      </w:r>
      <w:r>
        <w:t xml:space="preserve"> </w:t>
      </w:r>
      <w:r w:rsidR="00786D7E">
        <w:t>using</w:t>
      </w:r>
      <w:r w:rsidR="00786D7E" w:rsidRPr="00786D7E">
        <w:t xml:space="preserve"> Mimics Software</w:t>
      </w:r>
      <w:r w:rsidR="00786D7E">
        <w:t>™</w:t>
      </w:r>
      <w:r w:rsidR="00786D7E" w:rsidRPr="00786D7E">
        <w:t xml:space="preserve">   </w:t>
      </w:r>
      <w:r w:rsidR="00786D7E">
        <w:t>(</w:t>
      </w:r>
      <w:r w:rsidR="00786D7E" w:rsidRPr="00786D7E">
        <w:t>Materialise</w:t>
      </w:r>
      <w:r w:rsidR="00786D7E">
        <w:t>, Belgium).</w:t>
      </w:r>
    </w:p>
    <w:p w:rsidR="006F43FC" w:rsidRDefault="00A734C9" w:rsidP="006F43FC">
      <w:pPr>
        <w:spacing w:after="0" w:line="240" w:lineRule="auto"/>
      </w:pPr>
      <w:r w:rsidRPr="00B04FAD">
        <w:rPr>
          <w:b/>
        </w:rPr>
        <w:t>1.</w:t>
      </w:r>
      <w:r w:rsidR="009A3CF8" w:rsidRPr="00B04FAD">
        <w:rPr>
          <w:b/>
        </w:rPr>
        <w:t>3</w:t>
      </w:r>
      <w:r>
        <w:t xml:space="preserve"> </w:t>
      </w:r>
      <w:r w:rsidR="00786D7E">
        <w:t xml:space="preserve">Design and optimisation of scaffold structure. Printing pattern, pore size and porosity will be optimized using CAD design and printed structure characterisation. </w:t>
      </w:r>
    </w:p>
    <w:p w:rsidR="00A734C9" w:rsidRDefault="00786D7E" w:rsidP="006F43FC">
      <w:pPr>
        <w:spacing w:after="0" w:line="240" w:lineRule="auto"/>
      </w:pPr>
      <w:r>
        <w:t xml:space="preserve"> </w:t>
      </w:r>
    </w:p>
    <w:p w:rsidR="009A3CF8" w:rsidRDefault="00BC44AE" w:rsidP="006F43FC">
      <w:pPr>
        <w:spacing w:afterLines="60" w:after="144" w:line="240" w:lineRule="auto"/>
        <w:rPr>
          <w:b/>
        </w:rPr>
      </w:pPr>
      <w:r w:rsidRPr="00BC44AE">
        <w:rPr>
          <w:b/>
        </w:rPr>
        <w:t>W</w:t>
      </w:r>
      <w:r w:rsidR="00B04FAD">
        <w:rPr>
          <w:b/>
        </w:rPr>
        <w:t xml:space="preserve">ork </w:t>
      </w:r>
      <w:r w:rsidRPr="00BC44AE">
        <w:rPr>
          <w:b/>
        </w:rPr>
        <w:t>P</w:t>
      </w:r>
      <w:r w:rsidR="00B04FAD">
        <w:rPr>
          <w:b/>
        </w:rPr>
        <w:t xml:space="preserve">ackage </w:t>
      </w:r>
      <w:r w:rsidRPr="00BC44AE">
        <w:rPr>
          <w:b/>
        </w:rPr>
        <w:t>2. Physicochemical characterisation</w:t>
      </w:r>
    </w:p>
    <w:p w:rsidR="00B04FAD" w:rsidRDefault="00B04FAD" w:rsidP="006F43FC">
      <w:pPr>
        <w:spacing w:afterLines="60" w:after="144" w:line="240" w:lineRule="auto"/>
      </w:pPr>
      <w:r>
        <w:rPr>
          <w:b/>
        </w:rPr>
        <w:t xml:space="preserve">2.1 </w:t>
      </w:r>
      <w:r w:rsidRPr="00B04FAD">
        <w:t>The bulk mechanical propert</w:t>
      </w:r>
      <w:r>
        <w:t>ies (including elasticity) as well as the substrate stiffness (AFM) will be determined and optimised. The scaffold should have the mechanical properties to</w:t>
      </w:r>
      <w:r w:rsidR="0038074A">
        <w:t xml:space="preserve"> support bone formation, maintain porosity and have a desired degradation profile. </w:t>
      </w:r>
    </w:p>
    <w:p w:rsidR="00B04FAD" w:rsidRDefault="00B04FAD" w:rsidP="003877A8">
      <w:pPr>
        <w:spacing w:after="100"/>
      </w:pPr>
      <w:r w:rsidRPr="00B04FAD">
        <w:rPr>
          <w:b/>
        </w:rPr>
        <w:t>2.2.</w:t>
      </w:r>
      <w:r>
        <w:t xml:space="preserve"> The chemical properties will be characterised and optimised. The surface chemistry (ATR-FTIR, </w:t>
      </w:r>
      <w:r w:rsidR="00DE00EB">
        <w:t xml:space="preserve">XRD, </w:t>
      </w:r>
      <w:r>
        <w:t>water contact angle</w:t>
      </w:r>
      <w:r w:rsidR="00DE00EB">
        <w:t xml:space="preserve">, </w:t>
      </w:r>
      <w:r w:rsidR="00D1585B">
        <w:t xml:space="preserve">SEM, </w:t>
      </w:r>
      <w:r w:rsidR="00DE00EB">
        <w:t>µCT</w:t>
      </w:r>
      <w:r>
        <w:t>) is important in determining protein adhesion, confirmation and subsequent cell interactions. The physicochemical characterisation will al</w:t>
      </w:r>
      <w:r w:rsidR="0038074A">
        <w:t>so allow an assessment of batch-to-</w:t>
      </w:r>
      <w:r>
        <w:t xml:space="preserve">batch variability. </w:t>
      </w:r>
    </w:p>
    <w:p w:rsidR="00B04FAD" w:rsidRPr="00B04FAD" w:rsidRDefault="00B04FAD" w:rsidP="003877A8">
      <w:pPr>
        <w:spacing w:after="100"/>
      </w:pPr>
      <w:r w:rsidRPr="00B04FAD">
        <w:rPr>
          <w:b/>
        </w:rPr>
        <w:t xml:space="preserve">2.3. </w:t>
      </w:r>
      <w:r w:rsidRPr="00B04FAD">
        <w:t xml:space="preserve">To promote bone regeneration </w:t>
      </w:r>
      <w:r>
        <w:t xml:space="preserve">the scaffold will release “bioactive” ions </w:t>
      </w:r>
      <w:r w:rsidR="0038074A">
        <w:t xml:space="preserve">(silicate, calcium and phosphate) </w:t>
      </w:r>
      <w:r>
        <w:t>to promote bone remodelling, The release of the ions n</w:t>
      </w:r>
      <w:r w:rsidR="0038074A">
        <w:t>ee</w:t>
      </w:r>
      <w:r>
        <w:t>ds to be controlled for desired cellular interactions and will be measured using ICP. The scaffold degradation rate is also an important consideration for total regeneration, whilst maintaining mechanical support.</w:t>
      </w:r>
    </w:p>
    <w:p w:rsidR="006F43FC" w:rsidRDefault="006F43FC" w:rsidP="006F43FC">
      <w:pPr>
        <w:spacing w:after="0" w:line="240" w:lineRule="auto"/>
        <w:rPr>
          <w:b/>
        </w:rPr>
      </w:pPr>
    </w:p>
    <w:p w:rsidR="009A3CF8" w:rsidRPr="00B04FAD" w:rsidRDefault="00B04FAD" w:rsidP="006F43FC">
      <w:pPr>
        <w:spacing w:afterLines="60" w:after="144" w:line="240" w:lineRule="auto"/>
        <w:rPr>
          <w:b/>
        </w:rPr>
      </w:pPr>
      <w:r w:rsidRPr="00B04FAD">
        <w:rPr>
          <w:b/>
        </w:rPr>
        <w:t>Work Package 3. Biological characterisation</w:t>
      </w:r>
    </w:p>
    <w:p w:rsidR="006235E0" w:rsidRDefault="006235E0" w:rsidP="006F43FC">
      <w:pPr>
        <w:spacing w:afterLines="60" w:after="144" w:line="240" w:lineRule="auto"/>
      </w:pPr>
      <w:r>
        <w:rPr>
          <w:b/>
        </w:rPr>
        <w:t xml:space="preserve">3.1 </w:t>
      </w:r>
      <w:r>
        <w:t xml:space="preserve">Protein interaction and bioactivity. The protein interactions are an important component of host response and determine cellular interactions, they can also effect spontaneous apatite formation. </w:t>
      </w:r>
      <w:r w:rsidR="00A85F6C">
        <w:t xml:space="preserve">Both protein adsorption and </w:t>
      </w:r>
      <w:r>
        <w:t>will be studie</w:t>
      </w:r>
      <w:r w:rsidR="00A85F6C">
        <w:t>d</w:t>
      </w:r>
      <w:r>
        <w:t xml:space="preserve"> using total protein assays and characterisation of apatite formation following immersion in simulated body fluid (SBF). The apatite formed will be characterised using FTIR and Raman spectroscopy. </w:t>
      </w:r>
    </w:p>
    <w:p w:rsidR="006235E0" w:rsidRDefault="006235E0" w:rsidP="003877A8">
      <w:pPr>
        <w:spacing w:after="100"/>
      </w:pPr>
      <w:r>
        <w:rPr>
          <w:b/>
        </w:rPr>
        <w:t>3</w:t>
      </w:r>
      <w:r w:rsidRPr="00B04FAD">
        <w:rPr>
          <w:b/>
        </w:rPr>
        <w:t>.2.</w:t>
      </w:r>
      <w:r>
        <w:t xml:space="preserve"> Cell interactions with the scaffold are a vital component of desirable output. Osteoblast-like proliferation (total DNA), metabolic activity (</w:t>
      </w:r>
      <w:proofErr w:type="spellStart"/>
      <w:r>
        <w:t>Alamar</w:t>
      </w:r>
      <w:proofErr w:type="spellEnd"/>
      <w:r>
        <w:t xml:space="preserve"> Blue), toxicity (membrane permeability assays), inflammatory response (IL-1, TNFα ELISA</w:t>
      </w:r>
      <w:r w:rsidR="00E55B41">
        <w:t>) and</w:t>
      </w:r>
      <w:r>
        <w:t xml:space="preserve"> angiogenic response (VEGF ELISA) will be studied. </w:t>
      </w:r>
    </w:p>
    <w:p w:rsidR="006235E0" w:rsidRDefault="006235E0" w:rsidP="003877A8">
      <w:pPr>
        <w:spacing w:after="100"/>
      </w:pPr>
      <w:r>
        <w:t xml:space="preserve">Furthermore the recruitment (Stro-1 ELISA) and human mesenchymal stem cell differentiation into bone cells will be studied (with ALP activity, RUNX+ and SOX9- gene expression, Collagen type I &amp; II, protein and BMP expression). </w:t>
      </w:r>
    </w:p>
    <w:p w:rsidR="006235E0" w:rsidRDefault="006235E0" w:rsidP="00C41E78">
      <w:pPr>
        <w:spacing w:after="0"/>
      </w:pPr>
      <w:r>
        <w:rPr>
          <w:b/>
        </w:rPr>
        <w:t>3</w:t>
      </w:r>
      <w:r w:rsidRPr="00B04FAD">
        <w:rPr>
          <w:b/>
        </w:rPr>
        <w:t xml:space="preserve">.3. </w:t>
      </w:r>
      <w:r>
        <w:t xml:space="preserve">To determine optimum parameters for bone regeneration, in vitro assays for bone nodule formation will also be performed and characterised with Raman spectroscopy (mineral to protein ratio), TEM (mineralisation of collagen fibres) and </w:t>
      </w:r>
      <w:r w:rsidR="0038074A">
        <w:t>Alizarin</w:t>
      </w:r>
      <w:r>
        <w:t xml:space="preserve"> Red staining. </w:t>
      </w:r>
    </w:p>
    <w:p w:rsidR="006F43FC" w:rsidRPr="00B04FAD" w:rsidRDefault="006F43FC" w:rsidP="00C41E78">
      <w:pPr>
        <w:spacing w:after="0"/>
      </w:pPr>
    </w:p>
    <w:p w:rsidR="006F43FC" w:rsidRDefault="000D3BCB" w:rsidP="006F43FC">
      <w:pPr>
        <w:spacing w:after="60"/>
        <w:rPr>
          <w:b/>
        </w:rPr>
      </w:pPr>
      <w:r>
        <w:rPr>
          <w:b/>
        </w:rPr>
        <w:t>Work Package 4</w:t>
      </w:r>
      <w:r w:rsidR="00E55B41">
        <w:rPr>
          <w:b/>
        </w:rPr>
        <w:t xml:space="preserve">. </w:t>
      </w:r>
      <w:r w:rsidR="00D1585B" w:rsidRPr="00D1585B">
        <w:rPr>
          <w:b/>
        </w:rPr>
        <w:t xml:space="preserve">Optimized Implant development  </w:t>
      </w:r>
    </w:p>
    <w:p w:rsidR="00791890" w:rsidRDefault="00D1585B" w:rsidP="006F43FC">
      <w:pPr>
        <w:spacing w:after="60"/>
        <w:rPr>
          <w:b/>
        </w:rPr>
      </w:pPr>
      <w:r>
        <w:t>Optimisation of an implantable patient specific construct. Based on the WP1-3, a final construct will be developed with optimised function and structure</w:t>
      </w:r>
      <w:r w:rsidR="00CE0861">
        <w:t xml:space="preserve"> based on a patient case study. This will lead to future pre-clinical in vivo studies. </w:t>
      </w:r>
      <w:bookmarkStart w:id="0" w:name="_GoBack"/>
      <w:bookmarkEnd w:id="0"/>
    </w:p>
    <w:p w:rsidR="006F43FC" w:rsidRDefault="006F43FC" w:rsidP="003877A8">
      <w:pPr>
        <w:spacing w:after="0"/>
        <w:contextualSpacing/>
        <w:rPr>
          <w:b/>
        </w:rPr>
      </w:pPr>
    </w:p>
    <w:p w:rsidR="003877A8" w:rsidRDefault="000D3BCB" w:rsidP="006F43FC">
      <w:pPr>
        <w:spacing w:after="60" w:line="240" w:lineRule="auto"/>
        <w:rPr>
          <w:b/>
        </w:rPr>
      </w:pPr>
      <w:r>
        <w:rPr>
          <w:b/>
        </w:rPr>
        <w:t xml:space="preserve">Work Pack 5. </w:t>
      </w:r>
      <w:r w:rsidR="003877A8">
        <w:rPr>
          <w:b/>
        </w:rPr>
        <w:t>Management</w:t>
      </w:r>
      <w:r>
        <w:rPr>
          <w:b/>
        </w:rPr>
        <w:t xml:space="preserve"> and delivery</w:t>
      </w:r>
      <w:r w:rsidR="006F43FC">
        <w:rPr>
          <w:b/>
        </w:rPr>
        <w:t>.</w:t>
      </w:r>
    </w:p>
    <w:p w:rsidR="003877A8" w:rsidRDefault="003877A8" w:rsidP="006F43FC">
      <w:pPr>
        <w:spacing w:after="60" w:line="240" w:lineRule="auto"/>
      </w:pPr>
      <w:r w:rsidRPr="003877A8">
        <w:t xml:space="preserve">The project surgical lead will be </w:t>
      </w:r>
      <w:r w:rsidR="0038074A">
        <w:t xml:space="preserve">Mr. </w:t>
      </w:r>
      <w:proofErr w:type="spellStart"/>
      <w:r w:rsidRPr="003877A8">
        <w:t>Kaveh</w:t>
      </w:r>
      <w:proofErr w:type="spellEnd"/>
      <w:r w:rsidRPr="003877A8">
        <w:t xml:space="preserve"> </w:t>
      </w:r>
      <w:proofErr w:type="spellStart"/>
      <w:r w:rsidRPr="003877A8">
        <w:t>Shakib</w:t>
      </w:r>
      <w:proofErr w:type="spellEnd"/>
      <w:r w:rsidR="00C92A94">
        <w:t>, who will responsible for finance management and overall direction</w:t>
      </w:r>
      <w:r>
        <w:t xml:space="preserve">. </w:t>
      </w:r>
      <w:r w:rsidRPr="003877A8">
        <w:t xml:space="preserve"> </w:t>
      </w:r>
      <w:r>
        <w:t xml:space="preserve">Gavin Jell </w:t>
      </w:r>
      <w:r w:rsidR="00143421">
        <w:t xml:space="preserve">is </w:t>
      </w:r>
      <w:r>
        <w:t xml:space="preserve">responsible for </w:t>
      </w:r>
      <w:r w:rsidRPr="003877A8">
        <w:t>project management</w:t>
      </w:r>
      <w:r>
        <w:t>, deliverables and characterisation of material and biological interactions (WP2</w:t>
      </w:r>
      <w:r w:rsidR="00A85F6C">
        <w:t xml:space="preserve"> &amp;</w:t>
      </w:r>
      <w:r>
        <w:t xml:space="preserve"> 3).  </w:t>
      </w:r>
      <w:r w:rsidR="000D3BCB">
        <w:t xml:space="preserve">It </w:t>
      </w:r>
      <w:proofErr w:type="spellStart"/>
      <w:r w:rsidR="000D3BCB">
        <w:t>in</w:t>
      </w:r>
      <w:proofErr w:type="spellEnd"/>
      <w:r w:rsidR="000D3BCB">
        <w:t xml:space="preserve"> anticipated that the 1</w:t>
      </w:r>
      <w:r w:rsidR="000D3BCB" w:rsidRPr="000D3BCB">
        <w:rPr>
          <w:vertAlign w:val="superscript"/>
        </w:rPr>
        <w:t>st</w:t>
      </w:r>
      <w:r w:rsidR="000D3BCB">
        <w:t xml:space="preserve"> publication would be achieved at M3. </w:t>
      </w:r>
      <w:proofErr w:type="spellStart"/>
      <w:r>
        <w:t>Dr.</w:t>
      </w:r>
      <w:proofErr w:type="spellEnd"/>
      <w:r>
        <w:t xml:space="preserve"> W. Song will lead the scaffold development (WP1). The </w:t>
      </w:r>
      <w:r w:rsidR="00143421">
        <w:t>work package</w:t>
      </w:r>
      <w:r>
        <w:t xml:space="preserve"> leaders will meet at least once every month to discuss progress. </w:t>
      </w:r>
    </w:p>
    <w:p w:rsidR="00C41E78" w:rsidRDefault="00C41E78">
      <w:pPr>
        <w:rPr>
          <w:b/>
        </w:rPr>
      </w:pPr>
    </w:p>
    <w:p w:rsidR="00DA3D0E" w:rsidRPr="00DA3D0E" w:rsidRDefault="00E55B41">
      <w:pPr>
        <w:rPr>
          <w:b/>
        </w:rPr>
      </w:pPr>
      <w:r w:rsidRPr="00E55B41">
        <w:rPr>
          <w:b/>
          <w:noProof/>
          <w:sz w:val="24"/>
          <w:szCs w:val="24"/>
          <w:lang w:eastAsia="en-GB"/>
        </w:rPr>
        <mc:AlternateContent>
          <mc:Choice Requires="wps">
            <w:drawing>
              <wp:anchor distT="0" distB="0" distL="114300" distR="114300" simplePos="0" relativeHeight="251661312" behindDoc="0" locked="0" layoutInCell="1" allowOverlap="1" wp14:anchorId="3DD8E0DE" wp14:editId="4437890D">
                <wp:simplePos x="0" y="0"/>
                <wp:positionH relativeFrom="column">
                  <wp:posOffset>0</wp:posOffset>
                </wp:positionH>
                <wp:positionV relativeFrom="paragraph">
                  <wp:posOffset>175260</wp:posOffset>
                </wp:positionV>
                <wp:extent cx="61264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1264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3FCCC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8pt" to="48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xWzQEAAIgDAAAOAAAAZHJzL2Uyb0RvYy54bWysU02PGjEMvVfqf4hyLwO0RWjEsAfQ9lK1&#10;SLv9Ad5MMhMpX7JTBv59ncBSur1V5RDiOH72e3mzeTh5J44aycbQycVsLoUOKvY2DJ388fz4YS0F&#10;ZQg9uBh0J8+a5MP2/bvNlFq9jGN0vUbBIIHaKXVyzDm1TUNq1B5oFpMOnDQRPWQOcWh6hInRvWuW&#10;8/mqmSL2CaPSRHy6vyTltuIbo1X+bgzpLFwnebZcV6zrS1mb7QbaASGNVl3HgH+YwoMN3PQGtYcM&#10;4ifav6C8VRgpmjxT0TfRGKt05cBsFvM3bJ5GSLpyYXEo3WSi/wervh0PKGzfyaUUATw/0VNGsMOY&#10;xS6GwAJGFMui05So5eu7cMBrROmAhfTJoC//TEecqrbnm7b6lIXiw9Viufq05idQr7nmd2FCyl90&#10;9KJsOulsKLShheNXytyMr75eKcchPlrn6tO5ICYG//i5IAMbyDjIvPWJKVEYpAA3sDNVxopI0dm+&#10;VBccOtPOoTgCm4M91cfpmceVwgFlTjCH+ivkeYI/Sss4e6DxUlxTFy95m9nQzvpOru+rXSgddbXk&#10;lVQR9CJh2b3E/lyVbUrEz12bXq1Z/HQf8/7+A9r+AgAA//8DAFBLAwQUAAYACAAAACEAd08M69sA&#10;AAAGAQAADwAAAGRycy9kb3ducmV2LnhtbEyPzU7DMBCE70i8g7VI3KhDi1IIcSpU1AO3EkDiuI03&#10;PxCvo9hpw9uziAMcZ2c1802+mV2vjjSGzrOB60UCirjytuPGwOvL7uoWVIjIFnvPZOCLAmyK87Mc&#10;M+tP/EzHMjZKQjhkaKCNcci0DlVLDsPCD8Ti1X50GEWOjbYjniTc9XqZJKl22LE0tDjQtqXqs5yc&#10;gWm/rZNut5o/3lelnp7W+7fHujHm8mJ+uAcVaY5/z/CDL+hQCNPBT2yD6g3IkGhguU5BiXuX3siQ&#10;w+9BF7n+j198AwAA//8DAFBLAQItABQABgAIAAAAIQC2gziS/gAAAOEBAAATAAAAAAAAAAAAAAAA&#10;AAAAAABbQ29udGVudF9UeXBlc10ueG1sUEsBAi0AFAAGAAgAAAAhADj9If/WAAAAlAEAAAsAAAAA&#10;AAAAAAAAAAAALwEAAF9yZWxzLy5yZWxzUEsBAi0AFAAGAAgAAAAhABkpTFbNAQAAiAMAAA4AAAAA&#10;AAAAAAAAAAAALgIAAGRycy9lMm9Eb2MueG1sUEsBAi0AFAAGAAgAAAAhAHdPDOvbAAAABgEAAA8A&#10;AAAAAAAAAAAAAAAAJwQAAGRycy9kb3ducmV2LnhtbFBLBQYAAAAABAAEAPMAAAAvBQAAAAA=&#10;" strokecolor="windowText" strokeweight=".5pt">
                <v:stroke joinstyle="miter"/>
              </v:line>
            </w:pict>
          </mc:Fallback>
        </mc:AlternateContent>
      </w:r>
      <w:r w:rsidR="00DA3D0E" w:rsidRPr="00DA3D0E">
        <w:rPr>
          <w:b/>
        </w:rPr>
        <w:t>Funding</w:t>
      </w:r>
    </w:p>
    <w:p w:rsidR="00091FEA" w:rsidRDefault="00E55B41">
      <w:r>
        <w:t>Additional</w:t>
      </w:r>
      <w:r w:rsidR="00DA3D0E">
        <w:t xml:space="preserve"> funding will be provided </w:t>
      </w:r>
      <w:r>
        <w:t>by the Royal Free Charity Maxillofacial</w:t>
      </w:r>
      <w:r w:rsidR="0038074A">
        <w:t xml:space="preserve"> research fund, to enable a PhD </w:t>
      </w:r>
      <w:r>
        <w:t>student to undertake this project (fees and remaining non-</w:t>
      </w:r>
      <w:r w:rsidR="00786D7E">
        <w:t>consumable</w:t>
      </w:r>
      <w:r>
        <w:t xml:space="preserve">/bench fee costs).  BAOMS will support all bench fees and consumables. </w:t>
      </w:r>
      <w:r w:rsidR="00C92A94">
        <w:t xml:space="preserve">A meeting with BAOMS to report progress will be arranged every 6 months, together with a 500 word summary of progress. </w:t>
      </w:r>
    </w:p>
    <w:sectPr w:rsidR="00091FEA" w:rsidSect="003877A8">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A"/>
    <w:rsid w:val="0000052E"/>
    <w:rsid w:val="00016C68"/>
    <w:rsid w:val="00040EAA"/>
    <w:rsid w:val="00053722"/>
    <w:rsid w:val="00063677"/>
    <w:rsid w:val="00066B8F"/>
    <w:rsid w:val="00087275"/>
    <w:rsid w:val="00091FEA"/>
    <w:rsid w:val="00094DB3"/>
    <w:rsid w:val="000B2DD2"/>
    <w:rsid w:val="000D3BCB"/>
    <w:rsid w:val="000E2492"/>
    <w:rsid w:val="000F3B03"/>
    <w:rsid w:val="00101AB5"/>
    <w:rsid w:val="00120350"/>
    <w:rsid w:val="00140AA7"/>
    <w:rsid w:val="00143421"/>
    <w:rsid w:val="00157D85"/>
    <w:rsid w:val="00164AAA"/>
    <w:rsid w:val="00167130"/>
    <w:rsid w:val="00184A0D"/>
    <w:rsid w:val="001A09CD"/>
    <w:rsid w:val="001A1A89"/>
    <w:rsid w:val="001D1AF1"/>
    <w:rsid w:val="001E229A"/>
    <w:rsid w:val="001E23CE"/>
    <w:rsid w:val="002052B1"/>
    <w:rsid w:val="00207384"/>
    <w:rsid w:val="00227B1A"/>
    <w:rsid w:val="00231FF6"/>
    <w:rsid w:val="00236A38"/>
    <w:rsid w:val="002441F9"/>
    <w:rsid w:val="00251DEC"/>
    <w:rsid w:val="002542C9"/>
    <w:rsid w:val="00264D5B"/>
    <w:rsid w:val="002752E8"/>
    <w:rsid w:val="00285F3E"/>
    <w:rsid w:val="00292E21"/>
    <w:rsid w:val="00294120"/>
    <w:rsid w:val="0029641C"/>
    <w:rsid w:val="002C3423"/>
    <w:rsid w:val="002E77A9"/>
    <w:rsid w:val="003235DF"/>
    <w:rsid w:val="00326945"/>
    <w:rsid w:val="00331A84"/>
    <w:rsid w:val="00332E61"/>
    <w:rsid w:val="0033695B"/>
    <w:rsid w:val="00345323"/>
    <w:rsid w:val="00370427"/>
    <w:rsid w:val="00374839"/>
    <w:rsid w:val="003801D6"/>
    <w:rsid w:val="0038074A"/>
    <w:rsid w:val="003877A8"/>
    <w:rsid w:val="00396663"/>
    <w:rsid w:val="003A14B4"/>
    <w:rsid w:val="003B7FDA"/>
    <w:rsid w:val="003C53FA"/>
    <w:rsid w:val="003F3A2C"/>
    <w:rsid w:val="003F48F1"/>
    <w:rsid w:val="003F62F9"/>
    <w:rsid w:val="00412D1E"/>
    <w:rsid w:val="0043190B"/>
    <w:rsid w:val="00435830"/>
    <w:rsid w:val="00437D17"/>
    <w:rsid w:val="00451E0A"/>
    <w:rsid w:val="00462D25"/>
    <w:rsid w:val="00463DF3"/>
    <w:rsid w:val="00486FA3"/>
    <w:rsid w:val="00487223"/>
    <w:rsid w:val="00494CEF"/>
    <w:rsid w:val="004A05F6"/>
    <w:rsid w:val="004C7945"/>
    <w:rsid w:val="004D1CA4"/>
    <w:rsid w:val="004D6C6D"/>
    <w:rsid w:val="004D7A2E"/>
    <w:rsid w:val="00504DA0"/>
    <w:rsid w:val="005119EC"/>
    <w:rsid w:val="00520751"/>
    <w:rsid w:val="00522906"/>
    <w:rsid w:val="005260B4"/>
    <w:rsid w:val="00530C0C"/>
    <w:rsid w:val="00541FDE"/>
    <w:rsid w:val="0054387D"/>
    <w:rsid w:val="00560B42"/>
    <w:rsid w:val="00563ECB"/>
    <w:rsid w:val="00570C53"/>
    <w:rsid w:val="0058484E"/>
    <w:rsid w:val="005B5AEA"/>
    <w:rsid w:val="005C07A6"/>
    <w:rsid w:val="005C7244"/>
    <w:rsid w:val="005D3365"/>
    <w:rsid w:val="005E264B"/>
    <w:rsid w:val="005F7A04"/>
    <w:rsid w:val="006058DC"/>
    <w:rsid w:val="0061669E"/>
    <w:rsid w:val="006235E0"/>
    <w:rsid w:val="00676307"/>
    <w:rsid w:val="00682B4C"/>
    <w:rsid w:val="00685EEE"/>
    <w:rsid w:val="00697242"/>
    <w:rsid w:val="006A3A75"/>
    <w:rsid w:val="006C127E"/>
    <w:rsid w:val="006D155B"/>
    <w:rsid w:val="006D1CF1"/>
    <w:rsid w:val="006E2326"/>
    <w:rsid w:val="006E709A"/>
    <w:rsid w:val="006F09D5"/>
    <w:rsid w:val="006F43FC"/>
    <w:rsid w:val="007019E4"/>
    <w:rsid w:val="007123E9"/>
    <w:rsid w:val="00726E7D"/>
    <w:rsid w:val="007404F3"/>
    <w:rsid w:val="00744E10"/>
    <w:rsid w:val="00754C66"/>
    <w:rsid w:val="007553F5"/>
    <w:rsid w:val="00755D5D"/>
    <w:rsid w:val="00756FEF"/>
    <w:rsid w:val="007766E8"/>
    <w:rsid w:val="00777617"/>
    <w:rsid w:val="00786D7E"/>
    <w:rsid w:val="00791890"/>
    <w:rsid w:val="007B2D2B"/>
    <w:rsid w:val="007C60D9"/>
    <w:rsid w:val="007D07C4"/>
    <w:rsid w:val="007D59D4"/>
    <w:rsid w:val="007D6998"/>
    <w:rsid w:val="007E0C16"/>
    <w:rsid w:val="007F4034"/>
    <w:rsid w:val="008018D6"/>
    <w:rsid w:val="00814D42"/>
    <w:rsid w:val="00830109"/>
    <w:rsid w:val="00877B02"/>
    <w:rsid w:val="008D2E87"/>
    <w:rsid w:val="008E51FA"/>
    <w:rsid w:val="008F10FA"/>
    <w:rsid w:val="00916E51"/>
    <w:rsid w:val="009436C6"/>
    <w:rsid w:val="00965C2D"/>
    <w:rsid w:val="009660F5"/>
    <w:rsid w:val="00971507"/>
    <w:rsid w:val="009738A4"/>
    <w:rsid w:val="009775C1"/>
    <w:rsid w:val="00980003"/>
    <w:rsid w:val="00980F74"/>
    <w:rsid w:val="009A3CF8"/>
    <w:rsid w:val="009C11FE"/>
    <w:rsid w:val="009C545E"/>
    <w:rsid w:val="009C632B"/>
    <w:rsid w:val="00A3435E"/>
    <w:rsid w:val="00A6010C"/>
    <w:rsid w:val="00A706BF"/>
    <w:rsid w:val="00A734C9"/>
    <w:rsid w:val="00A739A1"/>
    <w:rsid w:val="00A82435"/>
    <w:rsid w:val="00A85F6C"/>
    <w:rsid w:val="00AE069B"/>
    <w:rsid w:val="00AE12A0"/>
    <w:rsid w:val="00B03C69"/>
    <w:rsid w:val="00B04FAD"/>
    <w:rsid w:val="00B14290"/>
    <w:rsid w:val="00B166F2"/>
    <w:rsid w:val="00B16A7A"/>
    <w:rsid w:val="00B66063"/>
    <w:rsid w:val="00BB5A83"/>
    <w:rsid w:val="00BC44AE"/>
    <w:rsid w:val="00BD4025"/>
    <w:rsid w:val="00BD76A3"/>
    <w:rsid w:val="00BF159D"/>
    <w:rsid w:val="00C118AD"/>
    <w:rsid w:val="00C41E78"/>
    <w:rsid w:val="00C432CE"/>
    <w:rsid w:val="00C50F2C"/>
    <w:rsid w:val="00C61E6E"/>
    <w:rsid w:val="00C647B2"/>
    <w:rsid w:val="00C83446"/>
    <w:rsid w:val="00C87377"/>
    <w:rsid w:val="00C92A94"/>
    <w:rsid w:val="00CC286E"/>
    <w:rsid w:val="00CD1697"/>
    <w:rsid w:val="00CE0861"/>
    <w:rsid w:val="00CF3345"/>
    <w:rsid w:val="00CF4EAE"/>
    <w:rsid w:val="00D1585B"/>
    <w:rsid w:val="00D50596"/>
    <w:rsid w:val="00D83FB5"/>
    <w:rsid w:val="00D92945"/>
    <w:rsid w:val="00D94349"/>
    <w:rsid w:val="00D94DA6"/>
    <w:rsid w:val="00DA3691"/>
    <w:rsid w:val="00DA3989"/>
    <w:rsid w:val="00DA3D0E"/>
    <w:rsid w:val="00DB328B"/>
    <w:rsid w:val="00DD13A0"/>
    <w:rsid w:val="00DE00EB"/>
    <w:rsid w:val="00DF02A4"/>
    <w:rsid w:val="00DF468E"/>
    <w:rsid w:val="00E13913"/>
    <w:rsid w:val="00E27052"/>
    <w:rsid w:val="00E30046"/>
    <w:rsid w:val="00E44A3E"/>
    <w:rsid w:val="00E51C4B"/>
    <w:rsid w:val="00E51DCB"/>
    <w:rsid w:val="00E54AC7"/>
    <w:rsid w:val="00E55B41"/>
    <w:rsid w:val="00E612C0"/>
    <w:rsid w:val="00E8420E"/>
    <w:rsid w:val="00EA0357"/>
    <w:rsid w:val="00EA2D92"/>
    <w:rsid w:val="00EC2B61"/>
    <w:rsid w:val="00ED336D"/>
    <w:rsid w:val="00EE386F"/>
    <w:rsid w:val="00EE79B3"/>
    <w:rsid w:val="00EF28FA"/>
    <w:rsid w:val="00EF75C2"/>
    <w:rsid w:val="00F07D0F"/>
    <w:rsid w:val="00F22743"/>
    <w:rsid w:val="00F23219"/>
    <w:rsid w:val="00F2525B"/>
    <w:rsid w:val="00F36A8B"/>
    <w:rsid w:val="00F46469"/>
    <w:rsid w:val="00F74441"/>
    <w:rsid w:val="00F94B76"/>
    <w:rsid w:val="00FA211E"/>
    <w:rsid w:val="00FB4542"/>
    <w:rsid w:val="00FB48BE"/>
    <w:rsid w:val="00FC096D"/>
    <w:rsid w:val="00FC2970"/>
    <w:rsid w:val="00FC6D80"/>
    <w:rsid w:val="00FC7385"/>
    <w:rsid w:val="00FD5518"/>
    <w:rsid w:val="00FD72B7"/>
    <w:rsid w:val="00FD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FD7F2-7AED-4F6B-AADC-B43A3C07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F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07384"/>
    <w:rPr>
      <w:sz w:val="16"/>
      <w:szCs w:val="16"/>
    </w:rPr>
  </w:style>
  <w:style w:type="paragraph" w:styleId="CommentText">
    <w:name w:val="annotation text"/>
    <w:basedOn w:val="Normal"/>
    <w:link w:val="CommentTextChar"/>
    <w:uiPriority w:val="99"/>
    <w:semiHidden/>
    <w:unhideWhenUsed/>
    <w:rsid w:val="00207384"/>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07384"/>
    <w:rPr>
      <w:rFonts w:eastAsiaTheme="minorEastAsia"/>
      <w:sz w:val="20"/>
      <w:szCs w:val="20"/>
    </w:rPr>
  </w:style>
  <w:style w:type="paragraph" w:styleId="BalloonText">
    <w:name w:val="Balloon Text"/>
    <w:basedOn w:val="Normal"/>
    <w:link w:val="BalloonTextChar"/>
    <w:uiPriority w:val="99"/>
    <w:semiHidden/>
    <w:unhideWhenUsed/>
    <w:rsid w:val="00207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C9843B21.dotm</Template>
  <TotalTime>27</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Jell</dc:creator>
  <cp:keywords/>
  <dc:description/>
  <cp:lastModifiedBy>Gavin Jell</cp:lastModifiedBy>
  <cp:revision>4</cp:revision>
  <dcterms:created xsi:type="dcterms:W3CDTF">2016-05-27T18:11:00Z</dcterms:created>
  <dcterms:modified xsi:type="dcterms:W3CDTF">2016-05-27T18:38:00Z</dcterms:modified>
</cp:coreProperties>
</file>